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681" w:tblpY="4380"/>
        <w:tblOverlap w:val="never"/>
        <w:tblW w:w="8906" w:type="dxa"/>
        <w:jc w:val="center"/>
        <w:tblLayout w:type="fixed"/>
        <w:tblCellMar>
          <w:top w:w="0" w:type="dxa"/>
          <w:left w:w="108" w:type="dxa"/>
          <w:bottom w:w="0" w:type="dxa"/>
          <w:right w:w="108" w:type="dxa"/>
        </w:tblCellMar>
      </w:tblPr>
      <w:tblGrid>
        <w:gridCol w:w="7331"/>
        <w:gridCol w:w="1575"/>
      </w:tblGrid>
      <w:tr>
        <w:tblPrEx>
          <w:tblCellMar>
            <w:top w:w="0" w:type="dxa"/>
            <w:left w:w="108" w:type="dxa"/>
            <w:bottom w:w="0" w:type="dxa"/>
            <w:right w:w="108" w:type="dxa"/>
          </w:tblCellMar>
        </w:tblPrEx>
        <w:trPr>
          <w:trHeight w:val="839" w:hRule="atLeast"/>
          <w:jc w:val="center"/>
        </w:trPr>
        <w:tc>
          <w:tcPr>
            <w:tcW w:w="7331" w:type="dxa"/>
            <w:noWrap w:val="0"/>
            <w:vAlign w:val="center"/>
          </w:tcPr>
          <w:p>
            <w:pPr>
              <w:spacing w:line="840" w:lineRule="exact"/>
              <w:jc w:val="distribute"/>
              <w:rPr>
                <w:rFonts w:ascii="Times New Roman" w:hAnsi="Times New Roman" w:eastAsia="方正大标宋简体"/>
                <w:color w:val="FF0000"/>
                <w:spacing w:val="0"/>
                <w:w w:val="80"/>
                <w:sz w:val="64"/>
                <w:szCs w:val="64"/>
              </w:rPr>
            </w:pPr>
            <w:r>
              <w:rPr>
                <w:rFonts w:ascii="Times New Roman" w:hAnsi="Times New Roman" w:eastAsia="方正大标宋简体"/>
                <w:color w:val="FF0000"/>
                <w:spacing w:val="0"/>
                <w:w w:val="80"/>
                <w:sz w:val="64"/>
                <w:szCs w:val="64"/>
              </w:rPr>
              <w:t>广西壮族自治区文化和旅游厅</w:t>
            </w:r>
          </w:p>
        </w:tc>
        <w:tc>
          <w:tcPr>
            <w:tcW w:w="1575" w:type="dxa"/>
            <w:vMerge w:val="restart"/>
            <w:noWrap w:val="0"/>
            <w:vAlign w:val="center"/>
          </w:tcPr>
          <w:p>
            <w:pPr>
              <w:spacing w:line="1020" w:lineRule="exact"/>
              <w:jc w:val="both"/>
              <w:rPr>
                <w:rFonts w:ascii="Times New Roman" w:hAnsi="Times New Roman" w:eastAsia="方正大标宋简体"/>
                <w:color w:val="FF0000"/>
                <w:spacing w:val="24"/>
                <w:w w:val="66"/>
                <w:sz w:val="52"/>
                <w:szCs w:val="52"/>
              </w:rPr>
            </w:pPr>
            <w:r>
              <w:rPr>
                <w:rFonts w:ascii="Times New Roman" w:hAnsi="Times New Roman" w:eastAsia="方正大标宋简体"/>
                <w:color w:val="FF0000"/>
                <w:spacing w:val="24"/>
                <w:w w:val="66"/>
                <w:sz w:val="96"/>
                <w:szCs w:val="96"/>
              </w:rPr>
              <w:t>文件</w:t>
            </w:r>
          </w:p>
        </w:tc>
      </w:tr>
      <w:tr>
        <w:tblPrEx>
          <w:tblCellMar>
            <w:top w:w="0" w:type="dxa"/>
            <w:left w:w="108" w:type="dxa"/>
            <w:bottom w:w="0" w:type="dxa"/>
            <w:right w:w="108" w:type="dxa"/>
          </w:tblCellMar>
        </w:tblPrEx>
        <w:trPr>
          <w:trHeight w:val="703" w:hRule="atLeast"/>
          <w:jc w:val="center"/>
        </w:trPr>
        <w:tc>
          <w:tcPr>
            <w:tcW w:w="7331" w:type="dxa"/>
            <w:noWrap w:val="0"/>
            <w:vAlign w:val="center"/>
          </w:tcPr>
          <w:p>
            <w:pPr>
              <w:spacing w:line="840" w:lineRule="exact"/>
              <w:jc w:val="distribute"/>
              <w:rPr>
                <w:rFonts w:ascii="Times New Roman" w:hAnsi="Times New Roman" w:eastAsia="方正大标宋简体"/>
                <w:color w:val="FF0000"/>
                <w:spacing w:val="0"/>
                <w:w w:val="80"/>
                <w:sz w:val="64"/>
                <w:szCs w:val="64"/>
              </w:rPr>
            </w:pPr>
            <w:r>
              <w:rPr>
                <w:rFonts w:ascii="Times New Roman" w:hAnsi="Times New Roman" w:eastAsia="方正大标宋简体"/>
                <w:color w:val="FF0000"/>
                <w:spacing w:val="0"/>
                <w:w w:val="80"/>
                <w:sz w:val="64"/>
                <w:szCs w:val="64"/>
              </w:rPr>
              <w:t>广西壮族自治区财政厅</w:t>
            </w:r>
          </w:p>
        </w:tc>
        <w:tc>
          <w:tcPr>
            <w:tcW w:w="1575" w:type="dxa"/>
            <w:vMerge w:val="continue"/>
            <w:noWrap w:val="0"/>
            <w:vAlign w:val="top"/>
          </w:tcPr>
          <w:p>
            <w:pPr>
              <w:spacing w:line="600" w:lineRule="exact"/>
              <w:jc w:val="distribute"/>
              <w:rPr>
                <w:rFonts w:ascii="Times New Roman" w:hAnsi="Times New Roman" w:eastAsia="方正大标宋简体"/>
                <w:color w:val="FF0000"/>
                <w:spacing w:val="18"/>
                <w:w w:val="66"/>
                <w:sz w:val="52"/>
                <w:szCs w:val="52"/>
              </w:rPr>
            </w:pPr>
          </w:p>
        </w:tc>
      </w:tr>
    </w:tbl>
    <w:p>
      <w:pPr>
        <w:pBdr>
          <w:bottom w:val="single" w:color="FF0000" w:sz="24" w:space="4"/>
        </w:pBdr>
        <w:spacing w:line="600" w:lineRule="exact"/>
        <w:rPr>
          <w:rFonts w:ascii="Times New Roman" w:hAnsi="Times New Roman" w:eastAsia="方正仿宋_GBK"/>
          <w:sz w:val="32"/>
          <w:szCs w:val="32"/>
        </w:rPr>
      </w:pPr>
    </w:p>
    <w:p>
      <w:pPr>
        <w:pBdr>
          <w:bottom w:val="single" w:color="FF0000" w:sz="24" w:space="4"/>
        </w:pBdr>
        <w:spacing w:line="600" w:lineRule="exact"/>
        <w:rPr>
          <w:rFonts w:ascii="Times New Roman" w:hAnsi="Times New Roman" w:eastAsia="方正仿宋_GBK"/>
          <w:sz w:val="32"/>
          <w:szCs w:val="32"/>
        </w:rPr>
      </w:pPr>
    </w:p>
    <w:p>
      <w:pPr>
        <w:pBdr>
          <w:bottom w:val="single" w:color="FF0000" w:sz="24" w:space="4"/>
        </w:pBdr>
        <w:spacing w:line="600" w:lineRule="exact"/>
        <w:rPr>
          <w:rFonts w:ascii="Times New Roman" w:hAnsi="Times New Roman" w:eastAsia="方正仿宋_GBK"/>
          <w:sz w:val="32"/>
          <w:szCs w:val="32"/>
        </w:rPr>
      </w:pPr>
    </w:p>
    <w:p>
      <w:pPr>
        <w:pBdr>
          <w:bottom w:val="single" w:color="FF0000" w:sz="24" w:space="4"/>
        </w:pBdr>
        <w:spacing w:line="600" w:lineRule="exact"/>
        <w:rPr>
          <w:rFonts w:ascii="Times New Roman" w:hAnsi="Times New Roman" w:eastAsia="方正仿宋_GBK"/>
          <w:sz w:val="32"/>
          <w:szCs w:val="32"/>
        </w:rPr>
      </w:pPr>
    </w:p>
    <w:p>
      <w:pPr>
        <w:pBdr>
          <w:bottom w:val="single" w:color="FF0000" w:sz="24" w:space="4"/>
        </w:pBdr>
        <w:spacing w:line="600" w:lineRule="exact"/>
        <w:ind w:firstLine="160" w:firstLineChars="50"/>
        <w:rPr>
          <w:rFonts w:hint="default" w:ascii="Times New Roman" w:hAnsi="Times New Roman" w:eastAsia="方正仿宋_GBK"/>
          <w:sz w:val="32"/>
          <w:szCs w:val="32"/>
          <w:lang w:val="en" w:eastAsia="zh-CN"/>
        </w:rPr>
      </w:pPr>
      <w:r>
        <w:rPr>
          <w:rFonts w:ascii="Times New Roman" w:hAnsi="Times New Roman" w:eastAsia="方正仿宋_GBK"/>
          <w:sz w:val="32"/>
          <w:szCs w:val="32"/>
        </w:rPr>
        <w:t>桂文旅报〔202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号</w:t>
      </w:r>
      <w:r>
        <w:rPr>
          <w:rFonts w:hint="eastAsia" w:ascii="Times New Roman" w:hAnsi="Times New Roman" w:eastAsia="方正仿宋_GBK"/>
          <w:sz w:val="32"/>
          <w:szCs w:val="32"/>
        </w:rPr>
        <w:t xml:space="preserve">       </w:t>
      </w:r>
      <w:r>
        <w:rPr>
          <w:rFonts w:hint="default" w:ascii="Times New Roman" w:hAnsi="Times New Roman" w:eastAsia="方正仿宋_GBK"/>
          <w:sz w:val="32"/>
          <w:szCs w:val="32"/>
          <w:lang w:val="en"/>
        </w:rPr>
        <w:t xml:space="preserve">  </w:t>
      </w:r>
      <w:r>
        <w:rPr>
          <w:rFonts w:hint="eastAsia" w:ascii="Times New Roman" w:hAnsi="Times New Roman" w:eastAsia="方正仿宋_GBK"/>
          <w:sz w:val="32"/>
          <w:szCs w:val="32"/>
        </w:rPr>
        <w:t>签发人：</w:t>
      </w:r>
      <w:r>
        <w:rPr>
          <w:rFonts w:hint="eastAsia" w:ascii="方正楷体_GBK" w:hAnsi="方正楷体_GBK" w:eastAsia="方正楷体_GBK" w:cs="方正楷体_GBK"/>
          <w:sz w:val="32"/>
          <w:szCs w:val="32"/>
          <w:lang w:eastAsia="zh-CN"/>
        </w:rPr>
        <w:t>甘</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霖</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lang w:val="en" w:eastAsia="zh-CN"/>
        </w:rPr>
        <w:t xml:space="preserve">  </w:t>
      </w:r>
      <w:r>
        <w:rPr>
          <w:rFonts w:hint="eastAsia" w:ascii="Times New Roman" w:hAnsi="Times New Roman" w:eastAsia="方正楷体_GBK" w:cs="Times New Roman"/>
          <w:sz w:val="32"/>
          <w:szCs w:val="32"/>
          <w:lang w:val="en" w:eastAsia="zh-CN"/>
        </w:rPr>
        <w:t>黄</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lang w:val="en" w:eastAsia="zh-CN"/>
        </w:rPr>
        <w:t>伊</w:t>
      </w:r>
    </w:p>
    <w:p>
      <w:pPr>
        <w:spacing w:line="600" w:lineRule="exact"/>
        <w:rPr>
          <w:rFonts w:ascii="Times New Roman" w:hAnsi="Times New Roman" w:eastAsia="方正小标宋简体"/>
          <w:sz w:val="44"/>
          <w:szCs w:val="44"/>
        </w:rPr>
      </w:pPr>
    </w:p>
    <w:p>
      <w:pPr>
        <w:spacing w:line="600" w:lineRule="exact"/>
        <w:rPr>
          <w:rFonts w:ascii="Times New Roman" w:hAnsi="Times New Roman" w:eastAsia="方正小标宋简体"/>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自治区文化和旅游厅  自治区财政厅关于</w:t>
      </w:r>
    </w:p>
    <w:p>
      <w:pPr>
        <w:spacing w:line="600" w:lineRule="exact"/>
        <w:jc w:val="center"/>
        <w:rPr>
          <w:rFonts w:hint="eastAsia"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
        </w:rPr>
        <w:t>202</w:t>
      </w:r>
      <w:r>
        <w:rPr>
          <w:rFonts w:hint="eastAsia" w:ascii="方正小标宋_GBK" w:hAnsi="方正小标宋_GBK" w:eastAsia="方正小标宋_GBK" w:cs="方正小标宋_GBK"/>
          <w:sz w:val="44"/>
          <w:szCs w:val="44"/>
          <w:lang w:val="en" w:eastAsia="zh-CN"/>
        </w:rPr>
        <w:t>3</w:t>
      </w:r>
      <w:r>
        <w:rPr>
          <w:rFonts w:hint="eastAsia" w:ascii="方正小标宋_GBK" w:hAnsi="方正小标宋_GBK" w:eastAsia="方正小标宋_GBK" w:cs="方正小标宋_GBK"/>
          <w:sz w:val="44"/>
          <w:szCs w:val="44"/>
          <w:lang w:val="en"/>
        </w:rPr>
        <w:t>年度国家非物质文化遗产保护</w:t>
      </w:r>
    </w:p>
    <w:p>
      <w:pPr>
        <w:spacing w:line="600" w:lineRule="exact"/>
        <w:jc w:val="center"/>
        <w:rPr>
          <w:rFonts w:hint="eastAsia"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
        </w:rPr>
        <w:t>资金绩效自评情况的报告</w:t>
      </w:r>
    </w:p>
    <w:p>
      <w:pPr>
        <w:spacing w:line="540" w:lineRule="exact"/>
        <w:rPr>
          <w:rFonts w:ascii="Times New Roman" w:hAnsi="Times New Roman" w:eastAsia="仿宋_GB2312"/>
          <w:color w:val="auto"/>
          <w:sz w:val="32"/>
          <w:szCs w:val="32"/>
        </w:rPr>
      </w:pPr>
    </w:p>
    <w:p>
      <w:pPr>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文化和旅游部、财政部：</w:t>
      </w:r>
    </w:p>
    <w:p>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根据《财政部关于开展202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年度中央对地方转移支付预算执行情况绩效自评工作的通知》要求，现将广西壮族自治区202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年度国家非物质文化遗产保护资金绩效自评报告和绩效自评表随文报送。</w:t>
      </w:r>
    </w:p>
    <w:p>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特此报告。</w:t>
      </w:r>
    </w:p>
    <w:p>
      <w:pPr>
        <w:spacing w:line="560" w:lineRule="exact"/>
        <w:jc w:val="left"/>
        <w:rPr>
          <w:rFonts w:ascii="Times New Roman" w:hAnsi="Times New Roman" w:eastAsia="方正小标宋简体"/>
          <w:color w:val="auto"/>
          <w:sz w:val="44"/>
          <w:szCs w:val="44"/>
        </w:rPr>
      </w:pPr>
      <w:bookmarkStart w:id="0" w:name="_GoBack"/>
      <w:bookmarkEnd w:id="0"/>
    </w:p>
    <w:p>
      <w:pPr>
        <w:spacing w:line="560" w:lineRule="exact"/>
        <w:ind w:left="1598" w:leftChars="304" w:hanging="960" w:hangingChars="3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附件:1.广西壮族自治区202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年度国家非物质文化遗产保护资金绩效自评报告</w:t>
      </w:r>
    </w:p>
    <w:p>
      <w:pPr>
        <w:spacing w:line="560" w:lineRule="exact"/>
        <w:ind w:left="-210" w:leftChars="-100" w:firstLine="1600" w:firstLineChars="5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2.非遗保护资金转移支付区域绩效目标自评表（202</w:t>
      </w:r>
      <w:r>
        <w:rPr>
          <w:rFonts w:hint="default" w:ascii="Times New Roman" w:hAnsi="Times New Roman" w:eastAsia="方正仿宋_GBK" w:cs="Times New Roman"/>
          <w:color w:val="auto"/>
          <w:sz w:val="32"/>
          <w:szCs w:val="32"/>
          <w:lang w:val="en-US" w:eastAsia="zh-CN"/>
        </w:rPr>
        <w:t>3</w:t>
      </w:r>
    </w:p>
    <w:p>
      <w:pPr>
        <w:spacing w:line="560" w:lineRule="exact"/>
        <w:ind w:left="-210" w:leftChars="-100" w:firstLine="1920" w:firstLineChars="6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年度）</w:t>
      </w:r>
    </w:p>
    <w:p>
      <w:pPr>
        <w:spacing w:line="560" w:lineRule="exact"/>
        <w:rPr>
          <w:rFonts w:ascii="Times New Roman" w:hAnsi="Times New Roman" w:eastAsia="方正小标宋简体"/>
          <w:color w:val="auto"/>
          <w:sz w:val="44"/>
          <w:szCs w:val="44"/>
        </w:rPr>
      </w:pPr>
    </w:p>
    <w:p>
      <w:pPr>
        <w:pStyle w:val="2"/>
      </w:pPr>
    </w:p>
    <w:p>
      <w:pPr>
        <w:spacing w:line="600" w:lineRule="exact"/>
        <w:ind w:left="1598" w:leftChars="304" w:hanging="960" w:hangingChars="300"/>
        <w:jc w:val="left"/>
        <w:rPr>
          <w:rFonts w:ascii="Times New Roman" w:hAnsi="Times New Roman" w:eastAsia="方正仿宋_GBK"/>
          <w:color w:val="auto"/>
          <w:sz w:val="32"/>
          <w:szCs w:val="32"/>
        </w:rPr>
      </w:pPr>
      <w:r>
        <w:rPr>
          <w:rFonts w:ascii="Times New Roman" w:hAnsi="Times New Roman" w:eastAsia="方正仿宋_GBK"/>
          <w:color w:val="auto"/>
          <w:sz w:val="32"/>
          <w:szCs w:val="32"/>
        </w:rPr>
        <w:t>广西壮族自治区文化和旅游厅   广西壮族自治区财政厅</w:t>
      </w:r>
    </w:p>
    <w:p>
      <w:pPr>
        <w:spacing w:line="600" w:lineRule="exact"/>
        <w:ind w:left="1598" w:leftChars="304" w:hanging="960" w:hangingChars="300"/>
        <w:jc w:val="left"/>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202</w:t>
      </w:r>
      <w:r>
        <w:rPr>
          <w:rFonts w:hint="default"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default"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29</w:t>
      </w:r>
      <w:r>
        <w:rPr>
          <w:rFonts w:ascii="Times New Roman" w:hAnsi="Times New Roman" w:eastAsia="方正仿宋_GBK"/>
          <w:color w:val="auto"/>
          <w:sz w:val="32"/>
          <w:szCs w:val="32"/>
        </w:rPr>
        <w:t>日</w:t>
      </w:r>
    </w:p>
    <w:p>
      <w:pPr>
        <w:pStyle w:val="5"/>
        <w:spacing w:after="0" w:line="600" w:lineRule="exact"/>
        <w:ind w:firstLine="640" w:firstLineChars="200"/>
        <w:jc w:val="left"/>
        <w:rPr>
          <w:rFonts w:ascii="Times New Roman" w:hAnsi="Times New Roman" w:eastAsia="方正仿宋_GBK"/>
          <w:color w:val="auto"/>
          <w:sz w:val="32"/>
          <w:szCs w:val="32"/>
        </w:rPr>
      </w:pP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公开前需经政府信息公开审查；自治区文化和旅游厅</w:t>
      </w:r>
      <w:r>
        <w:rPr>
          <w:rFonts w:ascii="Times New Roman" w:hAnsi="Times New Roman" w:eastAsia="方正仿宋_GBK"/>
          <w:color w:val="auto"/>
          <w:sz w:val="32"/>
          <w:szCs w:val="32"/>
        </w:rPr>
        <w:t>联系人</w:t>
      </w:r>
      <w:r>
        <w:rPr>
          <w:rFonts w:hint="default" w:ascii="Times New Roman" w:hAnsi="Times New Roman" w:eastAsia="方正仿宋_GBK"/>
          <w:color w:val="auto"/>
          <w:sz w:val="32"/>
          <w:szCs w:val="32"/>
          <w:lang w:eastAsia="zh-CN"/>
        </w:rPr>
        <w:t>：郭勇，</w:t>
      </w:r>
      <w:r>
        <w:rPr>
          <w:rFonts w:hint="eastAsia" w:ascii="Times New Roman" w:hAnsi="Times New Roman" w:eastAsia="方正仿宋_GBK"/>
          <w:color w:val="auto"/>
          <w:sz w:val="32"/>
          <w:szCs w:val="32"/>
          <w:lang w:val="en-US" w:eastAsia="zh-CN"/>
        </w:rPr>
        <w:t>0771—5639653；自治区财政厅联系人：吴瑕，0771—5337103。</w:t>
      </w:r>
      <w:r>
        <w:rPr>
          <w:rFonts w:ascii="Times New Roman" w:hAnsi="Times New Roman" w:eastAsia="方正仿宋_GBK"/>
          <w:color w:val="auto"/>
          <w:sz w:val="32"/>
          <w:szCs w:val="32"/>
        </w:rPr>
        <w:t>）</w:t>
      </w:r>
    </w:p>
    <w:p>
      <w:pPr>
        <w:spacing w:line="560" w:lineRule="exact"/>
        <w:jc w:val="left"/>
        <w:rPr>
          <w:rFonts w:ascii="Times New Roman" w:hAnsi="Times New Roman" w:eastAsia="方正小标宋简体"/>
          <w:color w:val="auto"/>
          <w:sz w:val="44"/>
          <w:szCs w:val="44"/>
        </w:rPr>
      </w:pPr>
      <w:r>
        <w:rPr>
          <w:rFonts w:hint="eastAsia" w:ascii="Times New Roman" w:hAnsi="Times New Roman" w:eastAsia="方正小标宋简体"/>
          <w:sz w:val="44"/>
          <w:szCs w:val="44"/>
          <w:lang w:val="en"/>
        </w:rPr>
        <w:br w:type="page"/>
      </w:r>
      <w:r>
        <w:rPr>
          <w:rFonts w:ascii="Times New Roman" w:hAnsi="Times New Roman" w:eastAsia="黑体"/>
          <w:color w:val="auto"/>
          <w:sz w:val="32"/>
          <w:szCs w:val="32"/>
        </w:rPr>
        <w:t>附件1</w:t>
      </w:r>
    </w:p>
    <w:p>
      <w:pPr>
        <w:spacing w:line="560" w:lineRule="exact"/>
        <w:jc w:val="center"/>
        <w:rPr>
          <w:rFonts w:ascii="Times New Roman" w:hAnsi="Times New Roman" w:eastAsia="方正小标宋简体"/>
          <w:color w:val="auto"/>
          <w:sz w:val="44"/>
          <w:szCs w:val="44"/>
        </w:rPr>
      </w:pPr>
    </w:p>
    <w:p>
      <w:pPr>
        <w:spacing w:line="560" w:lineRule="exact"/>
        <w:jc w:val="center"/>
        <w:rPr>
          <w:rFonts w:ascii="Times New Roman" w:hAnsi="Times New Roman" w:eastAsia="方正小标宋简体"/>
          <w:color w:val="auto"/>
          <w:kern w:val="0"/>
          <w:sz w:val="44"/>
          <w:szCs w:val="44"/>
        </w:rPr>
      </w:pPr>
      <w:r>
        <w:rPr>
          <w:rFonts w:ascii="Times New Roman" w:hAnsi="Times New Roman" w:eastAsia="方正小标宋简体"/>
          <w:color w:val="auto"/>
          <w:sz w:val="44"/>
          <w:szCs w:val="44"/>
        </w:rPr>
        <w:t>广西壮族自治区202</w:t>
      </w:r>
      <w:r>
        <w:rPr>
          <w:rFonts w:hint="eastAsia" w:ascii="Times New Roman" w:hAnsi="Times New Roman" w:eastAsia="方正小标宋简体"/>
          <w:color w:val="auto"/>
          <w:sz w:val="44"/>
          <w:szCs w:val="44"/>
          <w:lang w:val="en-US" w:eastAsia="zh-CN"/>
        </w:rPr>
        <w:t>3</w:t>
      </w:r>
      <w:r>
        <w:rPr>
          <w:rFonts w:ascii="Times New Roman" w:hAnsi="Times New Roman" w:eastAsia="方正小标宋简体"/>
          <w:color w:val="auto"/>
          <w:sz w:val="44"/>
          <w:szCs w:val="44"/>
        </w:rPr>
        <w:t>年度国家</w:t>
      </w:r>
      <w:r>
        <w:rPr>
          <w:rFonts w:ascii="Times New Roman" w:hAnsi="Times New Roman" w:eastAsia="方正小标宋简体"/>
          <w:color w:val="auto"/>
          <w:kern w:val="0"/>
          <w:sz w:val="44"/>
          <w:szCs w:val="44"/>
        </w:rPr>
        <w:t>非物质文化</w:t>
      </w: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kern w:val="0"/>
          <w:sz w:val="44"/>
          <w:szCs w:val="44"/>
        </w:rPr>
        <w:t>遗产保护</w:t>
      </w:r>
      <w:r>
        <w:rPr>
          <w:rFonts w:ascii="Times New Roman" w:hAnsi="Times New Roman" w:eastAsia="方正小标宋简体"/>
          <w:color w:val="auto"/>
          <w:sz w:val="44"/>
          <w:szCs w:val="44"/>
        </w:rPr>
        <w:t>资金绩效自评报告</w:t>
      </w:r>
    </w:p>
    <w:p>
      <w:pPr>
        <w:spacing w:line="560" w:lineRule="exact"/>
        <w:ind w:firstLine="420"/>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olor w:val="auto"/>
          <w:sz w:val="32"/>
          <w:szCs w:val="32"/>
        </w:rPr>
      </w:pPr>
      <w:r>
        <w:rPr>
          <w:rFonts w:ascii="Times New Roman" w:hAnsi="Times New Roman" w:eastAsia="楷体_GB2312"/>
          <w:color w:val="auto"/>
          <w:sz w:val="32"/>
          <w:szCs w:val="32"/>
        </w:rPr>
        <w:t>（一）</w:t>
      </w:r>
      <w:r>
        <w:rPr>
          <w:rFonts w:hint="eastAsia" w:ascii="Times New Roman" w:hAnsi="Times New Roman" w:eastAsia="楷体_GB2312"/>
          <w:color w:val="auto"/>
          <w:sz w:val="32"/>
          <w:szCs w:val="32"/>
          <w:lang w:eastAsia="zh-CN"/>
        </w:rPr>
        <w:t>中央下达我区</w:t>
      </w:r>
      <w:r>
        <w:rPr>
          <w:rFonts w:ascii="Times New Roman" w:hAnsi="Times New Roman" w:eastAsia="楷体_GB2312"/>
          <w:color w:val="auto"/>
          <w:sz w:val="32"/>
          <w:szCs w:val="32"/>
        </w:rPr>
        <w:t>专项资金预算和</w:t>
      </w:r>
      <w:r>
        <w:rPr>
          <w:rFonts w:hint="eastAsia" w:ascii="Times New Roman" w:hAnsi="Times New Roman" w:eastAsia="楷体_GB2312"/>
          <w:color w:val="auto"/>
          <w:sz w:val="32"/>
          <w:szCs w:val="32"/>
          <w:lang w:eastAsia="zh-CN"/>
        </w:rPr>
        <w:t>区域</w:t>
      </w:r>
      <w:r>
        <w:rPr>
          <w:rFonts w:ascii="Times New Roman" w:hAnsi="Times New Roman" w:eastAsia="楷体_GB2312"/>
          <w:color w:val="auto"/>
          <w:sz w:val="32"/>
          <w:szCs w:val="32"/>
        </w:rPr>
        <w:t>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根据《财政部关于下达202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年非物质文化遗产保护资金预算的通知》（</w:t>
      </w:r>
      <w:r>
        <w:rPr>
          <w:rFonts w:hint="eastAsia" w:ascii="Times New Roman" w:hAnsi="Times New Roman" w:eastAsia="仿宋_GB2312"/>
          <w:color w:val="auto"/>
          <w:sz w:val="32"/>
          <w:szCs w:val="32"/>
          <w:lang w:val="en-US" w:eastAsia="zh-CN"/>
        </w:rPr>
        <w:t>财教〔2023〕56号</w:t>
      </w:r>
      <w:r>
        <w:rPr>
          <w:rFonts w:ascii="Times New Roman" w:hAnsi="Times New Roman" w:eastAsia="仿宋_GB2312"/>
          <w:color w:val="auto"/>
          <w:sz w:val="32"/>
          <w:szCs w:val="32"/>
        </w:rPr>
        <w:t>），财政部下达广西202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年度非物质文化遗产保护专项资金</w:t>
      </w:r>
      <w:r>
        <w:rPr>
          <w:rFonts w:ascii="Times New Roman" w:hAnsi="Times New Roman" w:eastAsia="仿宋_GB2312"/>
          <w:b/>
          <w:bCs/>
          <w:color w:val="auto"/>
          <w:sz w:val="32"/>
          <w:szCs w:val="32"/>
        </w:rPr>
        <w:t>总计</w:t>
      </w:r>
      <w:r>
        <w:rPr>
          <w:rFonts w:hint="eastAsia" w:ascii="Times New Roman" w:hAnsi="Times New Roman" w:eastAsia="仿宋_GB2312"/>
          <w:b/>
          <w:bCs/>
          <w:color w:val="auto"/>
          <w:sz w:val="32"/>
          <w:szCs w:val="32"/>
          <w:lang w:val="en-US" w:eastAsia="zh-CN"/>
        </w:rPr>
        <w:t>1595</w:t>
      </w:r>
      <w:r>
        <w:rPr>
          <w:rFonts w:ascii="Times New Roman" w:hAnsi="Times New Roman" w:eastAsia="仿宋_GB2312"/>
          <w:b/>
          <w:bCs/>
          <w:color w:val="auto"/>
          <w:sz w:val="32"/>
          <w:szCs w:val="32"/>
        </w:rPr>
        <w:t>万元</w:t>
      </w:r>
      <w:r>
        <w:rPr>
          <w:rFonts w:ascii="Times New Roman" w:hAnsi="Times New Roman" w:eastAsia="仿宋_GB2312"/>
          <w:color w:val="auto"/>
          <w:sz w:val="32"/>
          <w:szCs w:val="32"/>
        </w:rPr>
        <w:t>，其中重点项目（壮族霜降节）</w:t>
      </w:r>
      <w:r>
        <w:rPr>
          <w:rFonts w:hint="eastAsia" w:ascii="Times New Roman" w:hAnsi="Times New Roman" w:eastAsia="仿宋_GB2312"/>
          <w:color w:val="auto"/>
          <w:sz w:val="32"/>
          <w:szCs w:val="32"/>
          <w:lang w:val="en-US" w:eastAsia="zh-CN"/>
        </w:rPr>
        <w:t>77</w:t>
      </w:r>
      <w:r>
        <w:rPr>
          <w:rFonts w:ascii="Times New Roman" w:hAnsi="Times New Roman" w:eastAsia="仿宋_GB2312"/>
          <w:color w:val="auto"/>
          <w:sz w:val="32"/>
          <w:szCs w:val="32"/>
        </w:rPr>
        <w:t>万元、一般项目</w:t>
      </w:r>
      <w:r>
        <w:rPr>
          <w:rFonts w:hint="eastAsia" w:ascii="Times New Roman" w:hAnsi="Times New Roman" w:eastAsia="仿宋_GB2312"/>
          <w:color w:val="auto"/>
          <w:sz w:val="32"/>
          <w:szCs w:val="32"/>
          <w:lang w:val="en-US" w:eastAsia="zh-CN"/>
        </w:rPr>
        <w:t>1518</w:t>
      </w:r>
      <w:r>
        <w:rPr>
          <w:rFonts w:ascii="Times New Roman" w:hAnsi="Times New Roman" w:eastAsia="仿宋_GB2312"/>
          <w:color w:val="auto"/>
          <w:sz w:val="32"/>
          <w:szCs w:val="32"/>
        </w:rPr>
        <w:t>万元；202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年预算数为</w:t>
      </w:r>
      <w:r>
        <w:rPr>
          <w:rFonts w:hint="eastAsia" w:ascii="Times New Roman" w:hAnsi="Times New Roman" w:eastAsia="仿宋_GB2312"/>
          <w:color w:val="auto"/>
          <w:sz w:val="32"/>
          <w:szCs w:val="32"/>
          <w:lang w:val="en-US" w:eastAsia="zh-CN"/>
        </w:rPr>
        <w:t>1595</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,其中</w:t>
      </w:r>
      <w:r>
        <w:rPr>
          <w:rFonts w:ascii="Times New Roman" w:hAnsi="Times New Roman" w:eastAsia="仿宋_GB2312"/>
          <w:color w:val="auto"/>
          <w:sz w:val="32"/>
          <w:szCs w:val="32"/>
        </w:rPr>
        <w:t>提前下达数为</w:t>
      </w:r>
      <w:r>
        <w:rPr>
          <w:rFonts w:hint="eastAsia" w:ascii="Times New Roman" w:hAnsi="Times New Roman" w:eastAsia="仿宋_GB2312"/>
          <w:color w:val="auto"/>
          <w:sz w:val="32"/>
          <w:szCs w:val="32"/>
          <w:lang w:val="en-US" w:eastAsia="zh-CN"/>
        </w:rPr>
        <w:t>1348</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，二次下达数为</w:t>
      </w:r>
      <w:r>
        <w:rPr>
          <w:rFonts w:hint="eastAsia" w:ascii="Times New Roman" w:hAnsi="Times New Roman" w:eastAsia="仿宋_GB2312"/>
          <w:color w:val="auto"/>
          <w:sz w:val="32"/>
          <w:szCs w:val="32"/>
          <w:lang w:val="en-US" w:eastAsia="zh-CN"/>
        </w:rPr>
        <w:t>247万元。</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绩效目标情况详见下表：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color w:val="auto"/>
        </w:rPr>
      </w:pPr>
      <w:r>
        <w:rPr>
          <w:rFonts w:ascii="Times New Roman" w:hAnsi="Times New Roman" w:eastAsia="黑体"/>
          <w:color w:val="auto"/>
          <w:sz w:val="32"/>
          <w:szCs w:val="32"/>
        </w:rPr>
        <w:t>表1：</w:t>
      </w:r>
    </w:p>
    <w:p>
      <w:pPr>
        <w:pStyle w:val="6"/>
        <w:numPr>
          <w:ilvl w:val="0"/>
          <w:numId w:val="0"/>
        </w:num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2023年国家非物质文化遗产保护资金区域绩效目标表（分发地方）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637"/>
        <w:gridCol w:w="1404"/>
        <w:gridCol w:w="237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转移支付名称</w:t>
            </w:r>
          </w:p>
        </w:tc>
        <w:tc>
          <w:tcPr>
            <w:tcW w:w="7241" w:type="dxa"/>
            <w:gridSpan w:val="4"/>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国家非物质文化遗产保护资金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中央主管部门</w:t>
            </w:r>
          </w:p>
        </w:tc>
        <w:tc>
          <w:tcPr>
            <w:tcW w:w="7241" w:type="dxa"/>
            <w:gridSpan w:val="4"/>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文化和旅游部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省级财政部门</w:t>
            </w:r>
          </w:p>
        </w:tc>
        <w:tc>
          <w:tcPr>
            <w:tcW w:w="1637"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广西壮族自治区财政厅</w:t>
            </w:r>
          </w:p>
        </w:tc>
        <w:tc>
          <w:tcPr>
            <w:tcW w:w="1404"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省级主管部门</w:t>
            </w:r>
          </w:p>
        </w:tc>
        <w:tc>
          <w:tcPr>
            <w:tcW w:w="4200" w:type="dxa"/>
            <w:gridSpan w:val="2"/>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广西壮族自治区文化和旅游厅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资金情况（万元）</w:t>
            </w:r>
          </w:p>
        </w:tc>
        <w:tc>
          <w:tcPr>
            <w:tcW w:w="1637"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年度金额</w:t>
            </w:r>
          </w:p>
        </w:tc>
        <w:tc>
          <w:tcPr>
            <w:tcW w:w="5604" w:type="dxa"/>
            <w:gridSpan w:val="3"/>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其中：中央补助</w:t>
            </w:r>
          </w:p>
        </w:tc>
        <w:tc>
          <w:tcPr>
            <w:tcW w:w="5604" w:type="dxa"/>
            <w:gridSpan w:val="3"/>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地方资金</w:t>
            </w:r>
          </w:p>
        </w:tc>
        <w:tc>
          <w:tcPr>
            <w:tcW w:w="5604" w:type="dxa"/>
            <w:gridSpan w:val="3"/>
            <w:noWrap w:val="0"/>
            <w:vAlign w:val="top"/>
          </w:tcPr>
          <w:p>
            <w:pPr>
              <w:pStyle w:val="6"/>
              <w:numPr>
                <w:ilvl w:val="0"/>
                <w:numId w:val="0"/>
              </w:num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总体目标</w:t>
            </w:r>
          </w:p>
        </w:tc>
        <w:tc>
          <w:tcPr>
            <w:tcW w:w="7241" w:type="dxa"/>
            <w:gridSpan w:val="4"/>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7241" w:type="dxa"/>
            <w:gridSpan w:val="4"/>
            <w:noWrap w:val="0"/>
            <w:vAlign w:val="top"/>
          </w:tcPr>
          <w:p>
            <w:pPr>
              <w:pStyle w:val="6"/>
              <w:numPr>
                <w:ilvl w:val="0"/>
                <w:numId w:val="0"/>
              </w:numPr>
              <w:jc w:val="left"/>
              <w:rPr>
                <w:rFonts w:hint="default" w:ascii="Times New Roman" w:hAnsi="Times New Roman" w:cs="Times New Roman"/>
                <w:vertAlign w:val="baseline"/>
              </w:rPr>
            </w:pPr>
            <w:r>
              <w:rPr>
                <w:rFonts w:hint="default" w:ascii="Times New Roman" w:hAnsi="Times New Roman" w:cs="Times New Roman"/>
                <w:vertAlign w:val="baseline"/>
                <w:lang w:eastAsia="zh-CN"/>
              </w:rPr>
              <w:t>对入选联合国教科文组织非遗名录名册项目、国家级非遗代表性项目、代表性传承人记录工作、研培计划、代表性传承人传承活动等年度任务进行补助，推动非遗保护传承工作。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绩效指标</w:t>
            </w:r>
          </w:p>
        </w:tc>
        <w:tc>
          <w:tcPr>
            <w:tcW w:w="1637"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一级指标</w:t>
            </w:r>
          </w:p>
        </w:tc>
        <w:tc>
          <w:tcPr>
            <w:tcW w:w="1404"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二级指标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三级指标</w:t>
            </w:r>
          </w:p>
        </w:tc>
        <w:tc>
          <w:tcPr>
            <w:tcW w:w="182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产出指标</w:t>
            </w: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数量指标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补助传统工艺振兴类国家级非遗代表性项目个数</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补助曲艺类国家级非遗代表性项目个数</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补助其他类国家级代表性项目个数</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39个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开展国家级非遗代表性传承人记录工作人数</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研培计划培训班次</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研培计划培训人次</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质量指标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研培计划合格率</w:t>
            </w:r>
          </w:p>
        </w:tc>
        <w:tc>
          <w:tcPr>
            <w:tcW w:w="1825" w:type="dxa"/>
            <w:noWrap w:val="0"/>
            <w:vAlign w:val="top"/>
          </w:tcPr>
          <w:p>
            <w:pPr>
              <w:pStyle w:val="6"/>
              <w:numPr>
                <w:ilvl w:val="0"/>
                <w:numId w:val="0"/>
              </w:numPr>
              <w:jc w:val="center"/>
              <w:rPr>
                <w:rFonts w:hint="default" w:ascii="Times New Roman" w:hAnsi="Times New Roman" w:eastAsia="东文宋体" w:cs="Times New Roman"/>
                <w:vertAlign w:val="baseline"/>
                <w:lang w:val="en-US" w:eastAsia="zh-CN"/>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国家级非遗代表性传承人记录工作验收合格率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eastAsia="东文宋体" w:cs="Times New Roman"/>
                <w:vertAlign w:val="baseline"/>
              </w:rPr>
              <w:t>≥</w:t>
            </w:r>
            <w:r>
              <w:rPr>
                <w:rFonts w:hint="default" w:ascii="Times New Roman" w:hAnsi="Times New Roman" w:eastAsia="东文宋体" w:cs="Times New Roman"/>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时效指标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研培计划结业时间</w:t>
            </w:r>
          </w:p>
        </w:tc>
        <w:tc>
          <w:tcPr>
            <w:tcW w:w="1825" w:type="dxa"/>
            <w:noWrap w:val="0"/>
            <w:vAlign w:val="top"/>
          </w:tcPr>
          <w:p>
            <w:pPr>
              <w:pStyle w:val="6"/>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2023年12月前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国家级非遗代表性传承人记录工作招投标完成时间</w:t>
            </w:r>
          </w:p>
        </w:tc>
        <w:tc>
          <w:tcPr>
            <w:tcW w:w="1825" w:type="dxa"/>
            <w:noWrap w:val="0"/>
            <w:vAlign w:val="top"/>
          </w:tcPr>
          <w:p>
            <w:pPr>
              <w:pStyle w:val="6"/>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2023年6月前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效益指标</w:t>
            </w: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经济效益指标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研培计划参与学员相关产品销售额增长率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numPr>
                <w:ilvl w:val="0"/>
                <w:numId w:val="0"/>
              </w:num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研培计划参与学员相关产品种类增长率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numPr>
                <w:ilvl w:val="0"/>
                <w:numId w:val="0"/>
              </w:numPr>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研培计划参与学员相关产品销售渠道增长率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社会效益指标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非遗传承人增长率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培训非遗传承人合格率</w:t>
            </w:r>
          </w:p>
        </w:tc>
        <w:tc>
          <w:tcPr>
            <w:tcW w:w="182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可持续影响指标</w:t>
            </w:r>
          </w:p>
        </w:tc>
        <w:tc>
          <w:tcPr>
            <w:tcW w:w="237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对提高非遗领域理论研究水平的影响</w:t>
            </w:r>
          </w:p>
        </w:tc>
        <w:tc>
          <w:tcPr>
            <w:tcW w:w="182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对提升非遗传承人技能艺能的影响</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对增强非遗保护传承氛围的影响</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对提升非遗社会关注度的影响</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对扩大我国非遗保护工作国际影响力的作用</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cs="Times New Roman"/>
                <w:vertAlign w:val="baseline"/>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满意度指标</w:t>
            </w:r>
          </w:p>
        </w:tc>
        <w:tc>
          <w:tcPr>
            <w:tcW w:w="1404" w:type="dxa"/>
            <w:vMerge w:val="restart"/>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服务对象满意度指标</w:t>
            </w: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非遗项目保护单位满意度</w:t>
            </w:r>
          </w:p>
        </w:tc>
        <w:tc>
          <w:tcPr>
            <w:tcW w:w="1825" w:type="dxa"/>
            <w:noWrap w:val="0"/>
            <w:vAlign w:val="top"/>
          </w:tcPr>
          <w:p>
            <w:pPr>
              <w:pStyle w:val="6"/>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eastAsia="东文宋体" w:cs="Times New Roman"/>
                <w:vertAlign w:val="baseline"/>
                <w:lang w:val="en-US" w:eastAsia="zh-CN"/>
              </w:rPr>
              <w:t>≥</w:t>
            </w:r>
            <w:r>
              <w:rPr>
                <w:rFonts w:hint="default" w:ascii="Times New Roman" w:hAnsi="Times New Roman" w:cs="Times New Roman"/>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参与国家级非遗代表性传承人记录工作对象满意度</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eastAsia="东文宋体" w:cs="Times New Roman"/>
                <w:vertAlign w:val="baseline"/>
                <w:lang w:val="en-US" w:eastAsia="zh-CN"/>
              </w:rPr>
              <w:t>≥</w:t>
            </w:r>
            <w:r>
              <w:rPr>
                <w:rFonts w:hint="default" w:ascii="Times New Roman" w:hAnsi="Times New Roman" w:cs="Times New Roman"/>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637"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1404" w:type="dxa"/>
            <w:vMerge w:val="continue"/>
            <w:noWrap w:val="0"/>
            <w:vAlign w:val="top"/>
          </w:tcPr>
          <w:p>
            <w:pPr>
              <w:pStyle w:val="6"/>
              <w:numPr>
                <w:ilvl w:val="0"/>
                <w:numId w:val="0"/>
              </w:numPr>
              <w:jc w:val="center"/>
              <w:rPr>
                <w:rFonts w:hint="default" w:ascii="Times New Roman" w:hAnsi="Times New Roman" w:cs="Times New Roman"/>
                <w:vertAlign w:val="baseline"/>
              </w:rPr>
            </w:pPr>
          </w:p>
        </w:tc>
        <w:tc>
          <w:tcPr>
            <w:tcW w:w="2375" w:type="dxa"/>
            <w:noWrap w:val="0"/>
            <w:vAlign w:val="top"/>
          </w:tcPr>
          <w:p>
            <w:pPr>
              <w:pStyle w:val="6"/>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参与研培计划的非遗传承人满意度</w:t>
            </w:r>
          </w:p>
        </w:tc>
        <w:tc>
          <w:tcPr>
            <w:tcW w:w="1825" w:type="dxa"/>
            <w:noWrap w:val="0"/>
            <w:vAlign w:val="top"/>
          </w:tcPr>
          <w:p>
            <w:pPr>
              <w:numPr>
                <w:ilvl w:val="0"/>
                <w:numId w:val="0"/>
              </w:numPr>
              <w:jc w:val="center"/>
              <w:rPr>
                <w:rFonts w:hint="default" w:ascii="Times New Roman" w:hAnsi="Times New Roman" w:cs="Times New Roman"/>
                <w:vertAlign w:val="baseline"/>
              </w:rPr>
            </w:pPr>
            <w:r>
              <w:rPr>
                <w:rFonts w:hint="default" w:ascii="Times New Roman" w:hAnsi="Times New Roman" w:eastAsia="东文宋体" w:cs="Times New Roman"/>
                <w:vertAlign w:val="baseline"/>
                <w:lang w:val="en-US" w:eastAsia="zh-CN"/>
              </w:rPr>
              <w:t>≥</w:t>
            </w:r>
            <w:r>
              <w:rPr>
                <w:rFonts w:hint="default" w:ascii="Times New Roman" w:hAnsi="Times New Roman" w:cs="Times New Roman"/>
                <w:vertAlign w:val="baseline"/>
                <w:lang w:val="en-US" w:eastAsia="zh-CN"/>
              </w:rPr>
              <w:t>90%</w:t>
            </w:r>
          </w:p>
        </w:tc>
      </w:tr>
    </w:tbl>
    <w:p>
      <w:pPr>
        <w:pStyle w:val="6"/>
        <w:numPr>
          <w:ilvl w:val="0"/>
          <w:numId w:val="0"/>
        </w:numPr>
        <w:rPr>
          <w:rFonts w:hint="eastAsia" w:ascii="Times New Roman" w:hAnsi="Times New Roman" w:eastAsia="楷体_GB2312"/>
          <w:color w:val="auto"/>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w:t>
      </w:r>
      <w:r>
        <w:rPr>
          <w:rFonts w:hint="eastAsia" w:ascii="Times New Roman" w:hAnsi="Times New Roman" w:eastAsia="楷体_GB2312"/>
          <w:color w:val="auto"/>
          <w:sz w:val="32"/>
          <w:szCs w:val="32"/>
          <w:lang w:eastAsia="zh-CN"/>
        </w:rPr>
        <w:t>我区下达资金安排</w:t>
      </w:r>
      <w:r>
        <w:rPr>
          <w:rFonts w:ascii="Times New Roman" w:hAnsi="Times New Roman" w:eastAsia="楷体_GB2312"/>
          <w:color w:val="auto"/>
          <w:sz w:val="32"/>
          <w:szCs w:val="32"/>
        </w:rPr>
        <w:t>和绩效目标情况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olor w:val="auto"/>
          <w:sz w:val="32"/>
          <w:szCs w:val="32"/>
        </w:rPr>
        <w:t>根据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广西壮族自治区财政厅</w:t>
      </w:r>
      <w:r>
        <w:rPr>
          <w:rFonts w:hint="eastAsia" w:ascii="Times New Roman" w:hAnsi="Times New Roman" w:eastAsia="仿宋_GB2312"/>
          <w:color w:val="auto"/>
          <w:sz w:val="32"/>
          <w:szCs w:val="32"/>
          <w:lang w:eastAsia="zh-CN"/>
        </w:rPr>
        <w:t>关于提前下达</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国家</w:t>
      </w:r>
      <w:r>
        <w:rPr>
          <w:rFonts w:ascii="Times New Roman" w:hAnsi="Times New Roman" w:eastAsia="仿宋_GB2312"/>
          <w:color w:val="auto"/>
          <w:sz w:val="32"/>
          <w:szCs w:val="32"/>
        </w:rPr>
        <w:t>非物质文化遗产保护资金的通知</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（桂财教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140</w:t>
      </w:r>
      <w:r>
        <w:rPr>
          <w:rFonts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《广西壮族自治区财政厅关于下达202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国家</w:t>
      </w:r>
      <w:r>
        <w:rPr>
          <w:rFonts w:ascii="Times New Roman" w:hAnsi="Times New Roman" w:eastAsia="仿宋_GB2312"/>
          <w:color w:val="auto"/>
          <w:sz w:val="32"/>
          <w:szCs w:val="32"/>
        </w:rPr>
        <w:t>非物质文化遗产保护资金的通知》（桂财教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63</w:t>
      </w:r>
      <w:r>
        <w:rPr>
          <w:rFonts w:ascii="Times New Roman" w:hAnsi="Times New Roman" w:eastAsia="仿宋_GB2312"/>
          <w:color w:val="auto"/>
          <w:sz w:val="32"/>
          <w:szCs w:val="32"/>
        </w:rPr>
        <w:t>号）文件精神，自治区财政厅下达各市、县（区）专项资金</w:t>
      </w:r>
      <w:r>
        <w:rPr>
          <w:rFonts w:hint="eastAsia" w:ascii="Times New Roman" w:hAnsi="Times New Roman" w:eastAsia="仿宋_GB2312"/>
          <w:b/>
          <w:bCs/>
          <w:color w:val="auto"/>
          <w:sz w:val="32"/>
          <w:szCs w:val="32"/>
          <w:lang w:val="en-US" w:eastAsia="zh-CN"/>
        </w:rPr>
        <w:t>1595</w:t>
      </w:r>
      <w:r>
        <w:rPr>
          <w:rFonts w:ascii="Times New Roman" w:hAnsi="Times New Roman" w:eastAsia="仿宋_GB2312"/>
          <w:b/>
          <w:bCs/>
          <w:color w:val="auto"/>
          <w:sz w:val="32"/>
          <w:szCs w:val="32"/>
        </w:rPr>
        <w:t>万元</w:t>
      </w:r>
      <w:r>
        <w:rPr>
          <w:rFonts w:hint="eastAsia" w:ascii="Times New Roman" w:hAnsi="Times New Roman" w:eastAsia="仿宋_GB2312"/>
          <w:color w:val="auto"/>
          <w:sz w:val="32"/>
          <w:szCs w:val="32"/>
          <w:lang w:val="en-US" w:eastAsia="zh-CN"/>
        </w:rPr>
        <w:t>,</w:t>
      </w:r>
      <w:r>
        <w:rPr>
          <w:rFonts w:ascii="Times New Roman" w:hAnsi="Times New Roman" w:eastAsia="仿宋_GB2312"/>
          <w:color w:val="auto"/>
          <w:sz w:val="32"/>
          <w:szCs w:val="32"/>
        </w:rPr>
        <w:t>用于支持各地市、县（区）保护单位开展国家非物质文化遗产保护工作；</w:t>
      </w:r>
      <w:r>
        <w:rPr>
          <w:rFonts w:hint="eastAsia" w:ascii="Times New Roman" w:hAnsi="Times New Roman" w:eastAsia="仿宋_GB2312"/>
          <w:color w:val="auto"/>
          <w:sz w:val="32"/>
          <w:szCs w:val="32"/>
          <w:lang w:eastAsia="zh-CN"/>
        </w:rPr>
        <w:t>其中</w:t>
      </w:r>
      <w:r>
        <w:rPr>
          <w:rFonts w:hint="default" w:ascii="Times New Roman" w:hAnsi="Times New Roman" w:eastAsia="仿宋_GB2312"/>
          <w:color w:val="auto"/>
          <w:sz w:val="32"/>
          <w:szCs w:val="32"/>
          <w:lang w:val="en-US" w:eastAsia="zh-CN"/>
        </w:rPr>
        <w:t>分配给54个代表性项目保护补助费用1228万元、代表性传承人补助费80万元、补助4个研培班次130万元、代表性传承人记录补助费80万元、教科文项目（国家级项目）补助费77万元。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具体分配情况如下：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划拨自治区文化和旅游厅直属单位324万元，其中广西非遗保护中心80万元（代表性传承人记录工作补助经费）、广西戏剧院244万元（国家级非遗项目壮剧、桂剧、彩调剧各80万，国家级非遗传承人秦彩霞、周瑾各2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2.划拨自治区教育厅140万元，其中转给广西中医药大学补助壮医药（壮医药线点灸疗法）项目补助经费10万元、广西民族大学2个班次研培班补助经费70万元、广西艺术学院2个班次研培班补助经费60万元；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Times New Roman" w:hAnsi="Times New Roman" w:eastAsia="仿宋_GB2312" w:cs="Times New Roman"/>
          <w:color w:val="auto"/>
          <w:sz w:val="32"/>
          <w:szCs w:val="32"/>
          <w:lang w:val="en-US" w:eastAsia="zh-CN"/>
        </w:rPr>
        <w:t>3.划拨13个市级单位1131万元，其中南宁189.555万、柳州90.5万、桂林100万、梧州79.5万、北海30万、防城港37万、钦州29.225万、玉林2万，百色市104.72万，贺州市44.5万，河池市242万，来宾市52万，崇左市130万。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楷体_GB2312"/>
          <w:color w:val="auto"/>
          <w:sz w:val="32"/>
          <w:szCs w:val="32"/>
        </w:rPr>
      </w:pPr>
      <w:r>
        <w:rPr>
          <w:rFonts w:ascii="Times New Roman" w:hAnsi="Times New Roman" w:eastAsia="楷体_GB2312"/>
          <w:color w:val="auto"/>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楷体_GB2312"/>
          <w:color w:val="auto"/>
          <w:sz w:val="32"/>
          <w:szCs w:val="32"/>
        </w:rPr>
        <w:t>1.项目资金到位情况。</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年度国家非物质文化遗产保护专项资金共计</w:t>
      </w:r>
      <w:r>
        <w:rPr>
          <w:rFonts w:hint="eastAsia" w:ascii="Times New Roman" w:hAnsi="Times New Roman" w:eastAsia="仿宋_GB2312"/>
          <w:color w:val="auto"/>
          <w:sz w:val="32"/>
          <w:szCs w:val="32"/>
          <w:lang w:val="en-US" w:eastAsia="zh-CN"/>
        </w:rPr>
        <w:t>1595</w:t>
      </w:r>
      <w:r>
        <w:rPr>
          <w:rFonts w:ascii="Times New Roman" w:hAnsi="Times New Roman" w:eastAsia="仿宋_GB2312"/>
          <w:color w:val="auto"/>
          <w:sz w:val="32"/>
          <w:szCs w:val="32"/>
        </w:rPr>
        <w:t>万元，实际到位</w:t>
      </w:r>
      <w:r>
        <w:rPr>
          <w:rFonts w:hint="eastAsia" w:ascii="Times New Roman" w:hAnsi="Times New Roman" w:eastAsia="仿宋_GB2312"/>
          <w:color w:val="auto"/>
          <w:sz w:val="32"/>
          <w:szCs w:val="32"/>
          <w:lang w:val="en-US" w:eastAsia="zh-CN"/>
        </w:rPr>
        <w:t>1595</w:t>
      </w:r>
      <w:r>
        <w:rPr>
          <w:rFonts w:ascii="Times New Roman" w:hAnsi="Times New Roman" w:eastAsia="仿宋_GB2312"/>
          <w:color w:val="auto"/>
          <w:sz w:val="32"/>
          <w:szCs w:val="32"/>
        </w:rPr>
        <w:t>万元，资金到位率实现100%。根据《财政部关于下达202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年非物质文化遗产保护资金预算的通知》（财教〔202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6号）文件精神，自治区文化和旅游厅及时向全区各个非遗代表项目保护单位转发相关文件要求，组织并指导做好</w:t>
      </w:r>
      <w:r>
        <w:rPr>
          <w:rFonts w:hint="eastAsia" w:ascii="Times New Roman" w:hAnsi="Times New Roman" w:eastAsia="仿宋_GB2312"/>
          <w:color w:val="auto"/>
          <w:sz w:val="32"/>
          <w:szCs w:val="32"/>
          <w:lang w:val="en-US" w:eastAsia="zh-CN"/>
        </w:rPr>
        <w:t>2023</w:t>
      </w:r>
      <w:r>
        <w:rPr>
          <w:rFonts w:ascii="Times New Roman" w:hAnsi="Times New Roman" w:eastAsia="仿宋_GB2312"/>
          <w:color w:val="auto"/>
          <w:sz w:val="32"/>
          <w:szCs w:val="32"/>
        </w:rPr>
        <w:t>年度国家非遗保护资金的使用工作，同步知会各地</w:t>
      </w:r>
      <w:r>
        <w:rPr>
          <w:rFonts w:hint="eastAsia" w:ascii="Times New Roman" w:hAnsi="Times New Roman" w:eastAsia="仿宋_GB2312"/>
          <w:color w:val="auto"/>
          <w:sz w:val="32"/>
          <w:szCs w:val="32"/>
          <w:lang w:eastAsia="zh-CN"/>
        </w:rPr>
        <w:t>各级</w:t>
      </w:r>
      <w:r>
        <w:rPr>
          <w:rFonts w:ascii="Times New Roman" w:hAnsi="Times New Roman" w:eastAsia="仿宋_GB2312"/>
          <w:color w:val="auto"/>
          <w:sz w:val="32"/>
          <w:szCs w:val="32"/>
        </w:rPr>
        <w:t>财政和文化旅游管理部门监督资金使用单位的各项工作，确保专款专用，节约使用。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2.项目资金执行情况。该项目全年使用资金</w:t>
      </w:r>
      <w:r>
        <w:rPr>
          <w:rFonts w:hint="eastAsia" w:ascii="Times New Roman" w:hAnsi="Times New Roman" w:eastAsia="仿宋_GB2312"/>
          <w:color w:val="auto"/>
          <w:sz w:val="32"/>
          <w:szCs w:val="32"/>
          <w:lang w:val="en-US" w:eastAsia="zh-CN"/>
        </w:rPr>
        <w:t>1595</w:t>
      </w:r>
      <w:r>
        <w:rPr>
          <w:rFonts w:ascii="Times New Roman" w:hAnsi="Times New Roman" w:eastAsia="仿宋_GB2312"/>
          <w:color w:val="auto"/>
          <w:sz w:val="32"/>
          <w:szCs w:val="32"/>
        </w:rPr>
        <w:t>万元，资金实际使用</w:t>
      </w:r>
      <w:r>
        <w:rPr>
          <w:rFonts w:hint="eastAsia" w:ascii="Times New Roman" w:hAnsi="Times New Roman" w:eastAsia="仿宋_GB2312"/>
          <w:color w:val="auto"/>
          <w:sz w:val="32"/>
          <w:szCs w:val="32"/>
          <w:lang w:val="en-US" w:eastAsia="zh-CN"/>
        </w:rPr>
        <w:t>1043.58</w:t>
      </w:r>
      <w:r>
        <w:rPr>
          <w:rFonts w:ascii="Times New Roman" w:hAnsi="Times New Roman" w:eastAsia="仿宋_GB2312"/>
          <w:color w:val="auto"/>
          <w:sz w:val="32"/>
          <w:szCs w:val="32"/>
        </w:rPr>
        <w:t>万元，资金使用率为</w:t>
      </w:r>
      <w:r>
        <w:rPr>
          <w:rFonts w:hint="eastAsia" w:ascii="Times New Roman" w:hAnsi="Times New Roman" w:eastAsia="仿宋_GB2312"/>
          <w:color w:val="auto"/>
          <w:sz w:val="32"/>
          <w:szCs w:val="32"/>
          <w:lang w:val="en-US" w:eastAsia="zh-CN"/>
        </w:rPr>
        <w:t>65.43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南宁市、防城港市、钦州市等地市资金使用率较低，主要原因是部分地市财政紧张，在优先保障正常运转等刚性支出的情况下，部分预算未能在当年顺利执行。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具体资金执行情况详见下表：</w:t>
      </w:r>
    </w:p>
    <w:p>
      <w:pPr>
        <w:spacing w:line="54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表</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p>
    <w:p>
      <w:pPr>
        <w:pStyle w:val="2"/>
      </w:pPr>
      <w:r>
        <w:rPr>
          <w:rFonts w:hint="eastAsia"/>
        </w:rPr>
        <w:t>2023年国家非遗资金使用情况表</w:t>
      </w:r>
    </w:p>
    <w:p>
      <w:pPr>
        <w:pStyle w:val="6"/>
        <w:numPr>
          <w:ilvl w:val="0"/>
          <w:numId w:val="0"/>
        </w:numPr>
        <w:jc w:val="right"/>
        <w:rPr>
          <w:rFonts w:hint="eastAsia" w:ascii="Times New Roman" w:hAnsi="Times New Roman" w:eastAsia="宋体"/>
          <w:color w:val="auto"/>
          <w:lang w:eastAsia="zh-CN"/>
        </w:rPr>
      </w:pPr>
      <w:r>
        <w:rPr>
          <w:rFonts w:hint="eastAsia" w:ascii="Times New Roman" w:hAnsi="Times New Roman"/>
          <w:color w:val="auto"/>
          <w:lang w:eastAsia="zh-CN"/>
        </w:rPr>
        <w:t>单位：万元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234"/>
        <w:gridCol w:w="1318"/>
        <w:gridCol w:w="1085"/>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单位/市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下达金额</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使用金额</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执行率</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广西壮族自治区戏剧院</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244</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244</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壮剧、桂剧、彩调各80万元，</w:t>
            </w:r>
          </w:p>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2名传承人补助4万元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广西非遗保护中心</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80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80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传承人黄明荣、韦真礼开展记录工作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广西民族大学</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70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70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举办广西陶瓷烧制技艺传承人培训班、广西彩调传承人培训班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广西艺术学院</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举办广西少数民族染织绣文创开发与设计研修班、广西竹藤芒编传统技艺跨界创新设计研修班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广西中医药大学</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 xml:space="preserve">壮医药（壮医药线点灸疗法）项目补助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南宁市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189.555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33.84</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17.85%</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柳州市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90.5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40.5</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44.75%</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桂林市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梧州市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79.5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69.5</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87.42%</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北海市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防城港市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37</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2.58</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6.97%</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钦州市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29.225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玉林市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贺州市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44.5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42.48</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96.54%</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百色市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104.72</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31.58</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河池市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242</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137</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57%</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来宾市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52</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50</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96%</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崇左市</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130</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80.1</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61.60%</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b/>
                <w:i w:val="0"/>
                <w:color w:val="000000"/>
                <w:kern w:val="0"/>
                <w:sz w:val="24"/>
                <w:szCs w:val="24"/>
                <w:u w:val="none"/>
                <w:lang w:val="en-US" w:eastAsia="zh-CN" w:bidi="ar"/>
              </w:rPr>
              <w:t>合计</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1595</w:t>
            </w:r>
          </w:p>
        </w:tc>
        <w:tc>
          <w:tcPr>
            <w:tcW w:w="13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1043.58</w:t>
            </w:r>
          </w:p>
        </w:tc>
        <w:tc>
          <w:tcPr>
            <w:tcW w:w="11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65.43%</w:t>
            </w:r>
          </w:p>
        </w:tc>
        <w:tc>
          <w:tcPr>
            <w:tcW w:w="4251" w:type="dxa"/>
            <w:noWrap w:val="0"/>
            <w:vAlign w:val="top"/>
          </w:tcPr>
          <w:p>
            <w:pPr>
              <w:pStyle w:val="6"/>
              <w:numPr>
                <w:ilvl w:val="0"/>
                <w:numId w:val="0"/>
              </w:numPr>
              <w:rPr>
                <w:rFonts w:hint="default" w:ascii="Times New Roman" w:hAnsi="Times New Roman" w:eastAsia="宋体" w:cs="Times New Roman"/>
                <w:color w:val="auto"/>
                <w:vertAlign w:val="baseline"/>
                <w:lang w:eastAsia="zh-CN"/>
              </w:rPr>
            </w:pPr>
          </w:p>
        </w:tc>
      </w:tr>
    </w:tbl>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楷体_GB2312"/>
          <w:color w:val="auto"/>
          <w:sz w:val="32"/>
          <w:szCs w:val="32"/>
          <w:lang w:eastAsia="zh-CN"/>
        </w:rPr>
        <w:t>（二）</w:t>
      </w:r>
      <w:r>
        <w:rPr>
          <w:rFonts w:ascii="Times New Roman" w:hAnsi="Times New Roman" w:eastAsia="楷体_GB2312"/>
          <w:color w:val="auto"/>
          <w:sz w:val="32"/>
          <w:szCs w:val="32"/>
        </w:rPr>
        <w:t>资金管理情况分析</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baseline"/>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我区</w:t>
      </w:r>
      <w:r>
        <w:rPr>
          <w:rFonts w:hint="eastAsia" w:ascii="Times New Roman" w:hAnsi="Times New Roman" w:eastAsia="仿宋_GB2312"/>
          <w:color w:val="auto"/>
          <w:sz w:val="32"/>
          <w:szCs w:val="32"/>
        </w:rPr>
        <w:t>严格按照</w:t>
      </w:r>
      <w:r>
        <w:rPr>
          <w:rFonts w:hint="eastAsia" w:ascii="Times New Roman" w:hAnsi="Times New Roman" w:eastAsia="仿宋_GB2312"/>
          <w:color w:val="auto"/>
          <w:sz w:val="32"/>
          <w:szCs w:val="32"/>
          <w:lang w:eastAsia="zh-CN"/>
        </w:rPr>
        <w:t>《财政部</w:t>
      </w:r>
      <w:r>
        <w:rPr>
          <w:rFonts w:hint="eastAsia" w:ascii="Times New Roman" w:hAnsi="Times New Roman" w:eastAsia="仿宋_GB2312"/>
          <w:color w:val="auto"/>
          <w:sz w:val="32"/>
          <w:szCs w:val="32"/>
          <w:lang w:val="en-US" w:eastAsia="zh-CN"/>
        </w:rPr>
        <w:t xml:space="preserve"> 文化部关于印发〈</w:t>
      </w:r>
      <w:r>
        <w:rPr>
          <w:rFonts w:hint="eastAsia" w:ascii="Times New Roman" w:hAnsi="Times New Roman" w:eastAsia="仿宋_GB2312"/>
          <w:color w:val="auto"/>
          <w:sz w:val="32"/>
          <w:szCs w:val="32"/>
        </w:rPr>
        <w:t>国家非物质文化遗产保护资金管理办法</w:t>
      </w:r>
      <w:r>
        <w:rPr>
          <w:rFonts w:hint="eastAsia" w:ascii="Times New Roman" w:hAnsi="Times New Roman" w:eastAsia="仿宋_GB2312"/>
          <w:color w:val="auto"/>
          <w:sz w:val="32"/>
          <w:szCs w:val="32"/>
          <w:lang w:val="en-US" w:eastAsia="zh-CN"/>
        </w:rPr>
        <w:t>〉的通知</w:t>
      </w:r>
      <w:r>
        <w:rPr>
          <w:rFonts w:hint="eastAsia" w:ascii="Times New Roman" w:hAnsi="Times New Roman" w:eastAsia="仿宋_GB2312"/>
          <w:color w:val="auto"/>
          <w:sz w:val="32"/>
          <w:szCs w:val="32"/>
          <w:lang w:eastAsia="zh-CN"/>
        </w:rPr>
        <w:t>》（财教</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314</w:t>
      </w:r>
      <w:r>
        <w:rPr>
          <w:rFonts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管理使用中央转移支付</w:t>
      </w:r>
      <w:r>
        <w:rPr>
          <w:rFonts w:hint="eastAsia" w:ascii="Times New Roman" w:hAnsi="Times New Roman" w:eastAsia="仿宋_GB2312"/>
          <w:color w:val="auto"/>
          <w:sz w:val="32"/>
          <w:szCs w:val="32"/>
          <w:lang w:eastAsia="zh-CN"/>
        </w:rPr>
        <w:t>国家</w:t>
      </w:r>
      <w:r>
        <w:rPr>
          <w:rFonts w:ascii="Times New Roman" w:hAnsi="Times New Roman" w:eastAsia="仿宋_GB2312"/>
          <w:color w:val="auto"/>
          <w:sz w:val="32"/>
          <w:szCs w:val="32"/>
        </w:rPr>
        <w:t>非物质文化遗产保护</w:t>
      </w:r>
      <w:r>
        <w:rPr>
          <w:rFonts w:hint="eastAsia" w:ascii="Times New Roman" w:hAnsi="Times New Roman" w:eastAsia="仿宋_GB2312"/>
          <w:color w:val="auto"/>
          <w:sz w:val="32"/>
          <w:szCs w:val="32"/>
        </w:rPr>
        <w:t>资金。</w:t>
      </w:r>
      <w:r>
        <w:rPr>
          <w:rFonts w:hint="eastAsia" w:ascii="Times New Roman" w:hAnsi="Times New Roman" w:eastAsia="仿宋_GB2312"/>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资金分配情况：</w:t>
      </w:r>
      <w:r>
        <w:rPr>
          <w:rFonts w:hint="eastAsia" w:ascii="Times New Roman" w:hAnsi="Times New Roman" w:eastAsia="仿宋_GB2312"/>
          <w:color w:val="auto"/>
          <w:sz w:val="32"/>
          <w:szCs w:val="32"/>
          <w:lang w:eastAsia="zh-CN"/>
        </w:rPr>
        <w:t>自治区文化和旅游厅严格按照转移支付管理制度以及国家非遗保护资金管理办法规定的范围和标准分配资金，资金分配科学合理。</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eastAsia="zh-CN"/>
        </w:rPr>
        <w:t>资金下达情况：</w:t>
      </w:r>
      <w:r>
        <w:rPr>
          <w:rFonts w:hint="eastAsia" w:ascii="仿宋_GB2312" w:hAnsi="仿宋_GB2312" w:eastAsia="仿宋_GB2312" w:cs="仿宋_GB2312"/>
          <w:bCs/>
          <w:sz w:val="32"/>
          <w:szCs w:val="32"/>
        </w:rPr>
        <w:t>广西分别于</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日收到财政部下达的资金文，</w:t>
      </w:r>
      <w:r>
        <w:rPr>
          <w:rFonts w:hint="eastAsia" w:ascii="Times New Roman" w:hAnsi="Times New Roman" w:eastAsia="仿宋_GB2312"/>
          <w:color w:val="auto"/>
          <w:sz w:val="32"/>
          <w:szCs w:val="32"/>
          <w:lang w:eastAsia="zh-CN"/>
        </w:rPr>
        <w:t>自治区文化和旅游厅严格按照预算法及其实施条例、转移支付管理制度规定以及资金管理办法规定的时限要求，及时函请财政厅分解下达各地市、县（区）级保护单位。自治区财政厅已分别于</w:t>
      </w:r>
      <w:r>
        <w:rPr>
          <w:rFonts w:hint="eastAsia" w:ascii="Times New Roman" w:hAnsi="Times New Roman" w:eastAsia="仿宋_GB2312"/>
          <w:color w:val="auto"/>
          <w:sz w:val="32"/>
          <w:szCs w:val="32"/>
          <w:lang w:val="en-US" w:eastAsia="zh-CN"/>
        </w:rPr>
        <w:t>2022年12月12日和2023年5月31日将资金下达给</w:t>
      </w:r>
      <w:r>
        <w:rPr>
          <w:rFonts w:hint="eastAsia" w:ascii="Times New Roman" w:hAnsi="Times New Roman" w:eastAsia="仿宋_GB2312"/>
          <w:color w:val="auto"/>
          <w:sz w:val="32"/>
          <w:szCs w:val="32"/>
          <w:lang w:eastAsia="zh-CN"/>
        </w:rPr>
        <w:t>各地市、县（区）级保护单位，</w:t>
      </w:r>
      <w:r>
        <w:rPr>
          <w:rFonts w:hint="eastAsia" w:ascii="Times New Roman" w:hAnsi="Times New Roman" w:eastAsia="仿宋_GB2312"/>
          <w:color w:val="auto"/>
          <w:sz w:val="32"/>
          <w:szCs w:val="32"/>
        </w:rPr>
        <w:t>符合时限要求</w:t>
      </w:r>
      <w:r>
        <w:rPr>
          <w:rFonts w:hint="eastAsia" w:ascii="Times New Roman" w:hAnsi="Times New Roman"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资金拨付情况：</w:t>
      </w:r>
      <w:r>
        <w:rPr>
          <w:rFonts w:hint="eastAsia" w:ascii="Times New Roman" w:hAnsi="Times New Roman" w:eastAsia="仿宋_GB2312"/>
          <w:color w:val="auto"/>
          <w:sz w:val="32"/>
          <w:szCs w:val="32"/>
          <w:lang w:eastAsia="zh-CN"/>
        </w:rPr>
        <w:t>财政厅和各级财政部门严格按照国库集中支付制度有关规定支付资金，未出现违规将资金从国库转入财政专户或支付到预算单位实有资金账户等问题。</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资金使用情况：</w:t>
      </w:r>
      <w:r>
        <w:rPr>
          <w:rFonts w:ascii="Times New Roman" w:hAnsi="Times New Roman" w:eastAsia="仿宋_GB2312"/>
          <w:color w:val="auto"/>
          <w:sz w:val="32"/>
          <w:szCs w:val="32"/>
        </w:rPr>
        <w:t>项目管理资金使用目标明确，</w:t>
      </w:r>
      <w:r>
        <w:rPr>
          <w:rFonts w:hint="eastAsia" w:ascii="Times New Roman" w:hAnsi="Times New Roman" w:eastAsia="仿宋_GB2312"/>
          <w:color w:val="auto"/>
          <w:sz w:val="32"/>
          <w:szCs w:val="32"/>
          <w:lang w:eastAsia="zh-CN"/>
        </w:rPr>
        <w:t>各地市、县区</w:t>
      </w:r>
      <w:r>
        <w:rPr>
          <w:rFonts w:ascii="Times New Roman" w:hAnsi="Times New Roman" w:eastAsia="仿宋_GB2312"/>
          <w:color w:val="auto"/>
          <w:sz w:val="32"/>
          <w:szCs w:val="32"/>
        </w:rPr>
        <w:t>级文旅部门资金管理比较规范、财务制度健全。项目实施部门申请用款程序规范，符合国家有关财务管理规定，资金拨付手续完备，资金使用安全规范。</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资金执行情况：</w:t>
      </w:r>
      <w:r>
        <w:rPr>
          <w:rFonts w:hint="eastAsia" w:ascii="Times New Roman" w:hAnsi="Times New Roman" w:eastAsia="仿宋_GB2312"/>
          <w:color w:val="auto"/>
          <w:sz w:val="32"/>
          <w:szCs w:val="32"/>
          <w:lang w:eastAsia="zh-CN"/>
        </w:rPr>
        <w:t>自治区文化和旅游厅严格按照财政部下达和自治区本级预算安排的金额执行，资金执行率超过</w:t>
      </w:r>
      <w:r>
        <w:rPr>
          <w:rFonts w:hint="eastAsia" w:ascii="Times New Roman" w:hAnsi="Times New Roman" w:eastAsia="仿宋_GB2312"/>
          <w:color w:val="auto"/>
          <w:sz w:val="32"/>
          <w:szCs w:val="32"/>
          <w:lang w:val="en-US" w:eastAsia="zh-CN"/>
        </w:rPr>
        <w:t>65%，</w:t>
      </w:r>
      <w:r>
        <w:rPr>
          <w:rFonts w:hint="eastAsia" w:ascii="Times New Roman" w:hAnsi="Times New Roman" w:eastAsia="仿宋_GB2312"/>
          <w:color w:val="auto"/>
          <w:sz w:val="32"/>
          <w:szCs w:val="32"/>
          <w:lang w:eastAsia="zh-CN"/>
        </w:rPr>
        <w:t>不存在执行数偏离预算数较多的问题。</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预算绩效管理情况：</w:t>
      </w:r>
      <w:r>
        <w:rPr>
          <w:rFonts w:hint="eastAsia" w:ascii="Times New Roman" w:hAnsi="Times New Roman" w:eastAsia="仿宋_GB2312"/>
          <w:color w:val="auto"/>
          <w:sz w:val="32"/>
          <w:szCs w:val="32"/>
          <w:lang w:eastAsia="zh-CN"/>
        </w:rPr>
        <w:t>自治区文化和旅游厅在细化下达预算时同步下达年度绩效目标，按照资金使用要求将有关资金纳入本级预算或对所涉各保护单位进行转移支付绩效管理，并做好日常及年度绩效监控和绩效评价。</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baseline"/>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eastAsia="zh-CN"/>
        </w:rPr>
        <w:t>支出责任履行情况：</w:t>
      </w:r>
      <w:r>
        <w:rPr>
          <w:rFonts w:hint="eastAsia" w:ascii="Times New Roman" w:hAnsi="Times New Roman" w:eastAsia="仿宋_GB2312"/>
          <w:color w:val="auto"/>
          <w:sz w:val="32"/>
          <w:szCs w:val="32"/>
          <w:lang w:eastAsia="zh-CN"/>
        </w:rPr>
        <w:t>国家非遗保护资金全部为中央预算支出，无地方支出责任。</w:t>
      </w:r>
    </w:p>
    <w:p>
      <w:pPr>
        <w:keepNext w:val="0"/>
        <w:keepLines w:val="0"/>
        <w:pageBreakBefore w:val="0"/>
        <w:numPr>
          <w:ilvl w:val="0"/>
          <w:numId w:val="2"/>
        </w:numPr>
        <w:kinsoku/>
        <w:wordWrap/>
        <w:overflowPunct/>
        <w:topLinePunct w:val="0"/>
        <w:autoSpaceDE/>
        <w:autoSpaceDN/>
        <w:bidi w:val="0"/>
        <w:spacing w:line="580" w:lineRule="exact"/>
        <w:ind w:firstLine="640" w:firstLineChars="200"/>
        <w:textAlignment w:val="baseline"/>
        <w:rPr>
          <w:rFonts w:ascii="Times New Roman" w:hAnsi="Times New Roman" w:eastAsia="楷体_GB2312"/>
          <w:color w:val="auto"/>
          <w:sz w:val="32"/>
          <w:szCs w:val="32"/>
        </w:rPr>
      </w:pPr>
      <w:r>
        <w:rPr>
          <w:rFonts w:ascii="Times New Roman" w:hAnsi="Times New Roman" w:eastAsia="楷体_GB2312"/>
          <w:color w:val="auto"/>
          <w:sz w:val="32"/>
          <w:szCs w:val="32"/>
        </w:rPr>
        <w:t>总体绩效目标完成情况分析</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自治区文化和旅游厅非物质文化遗产处对全区4</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个项目保护单位提供的《中央对地方专项转移支付区域（项目）绩效目标自评表》进行了汇总分析。通过</w:t>
      </w:r>
      <w:r>
        <w:rPr>
          <w:rFonts w:hint="eastAsia" w:ascii="Times New Roman" w:hAnsi="Times New Roman" w:eastAsia="仿宋_GB2312"/>
          <w:color w:val="auto"/>
          <w:sz w:val="32"/>
          <w:szCs w:val="32"/>
          <w:lang w:eastAsia="zh-CN"/>
        </w:rPr>
        <w:t>全年</w:t>
      </w:r>
      <w:r>
        <w:rPr>
          <w:rFonts w:ascii="Times New Roman" w:hAnsi="Times New Roman" w:eastAsia="仿宋_GB2312"/>
          <w:color w:val="auto"/>
          <w:sz w:val="32"/>
          <w:szCs w:val="32"/>
        </w:rPr>
        <w:t>非遗保护相关工作的开展，基本完成全区国家级非遗代表性项目重点项目传承保护工作、国家级非遗代表性传承人记录工作、国家级非遗代表性传承人传习活动</w:t>
      </w:r>
      <w:r>
        <w:rPr>
          <w:rFonts w:hint="eastAsia" w:ascii="Times New Roman" w:hAnsi="Times New Roman" w:eastAsia="仿宋_GB2312"/>
          <w:color w:val="auto"/>
          <w:sz w:val="32"/>
          <w:szCs w:val="32"/>
          <w:lang w:eastAsia="zh-CN"/>
        </w:rPr>
        <w:t>和研培计划</w:t>
      </w:r>
      <w:r>
        <w:rPr>
          <w:rFonts w:ascii="Times New Roman" w:hAnsi="Times New Roman" w:eastAsia="仿宋_GB2312"/>
          <w:color w:val="auto"/>
          <w:sz w:val="32"/>
          <w:szCs w:val="32"/>
        </w:rPr>
        <w:t>等年度任务，总体绩效目标完成情况良好，</w:t>
      </w:r>
      <w:r>
        <w:rPr>
          <w:rFonts w:hint="eastAsia" w:ascii="Times New Roman" w:hAnsi="Times New Roman" w:eastAsia="仿宋_GB2312"/>
          <w:color w:val="auto"/>
          <w:sz w:val="32"/>
          <w:szCs w:val="32"/>
          <w:lang w:eastAsia="zh-CN"/>
        </w:rPr>
        <w:t>资金分配科学，资金下达及时，拨付合法合规，使用规范，执行准确，绩效管理目标清晰，严格履行支出责任，</w:t>
      </w:r>
      <w:r>
        <w:rPr>
          <w:rFonts w:ascii="Times New Roman" w:hAnsi="Times New Roman" w:eastAsia="仿宋_GB2312"/>
          <w:color w:val="auto"/>
          <w:sz w:val="32"/>
          <w:szCs w:val="32"/>
        </w:rPr>
        <w:t>进一步推动了全区非遗传承保护与宣传推广，促进了传承人队伍的发展。</w:t>
      </w:r>
    </w:p>
    <w:p>
      <w:pPr>
        <w:keepNext w:val="0"/>
        <w:keepLines w:val="0"/>
        <w:pageBreakBefore w:val="0"/>
        <w:kinsoku/>
        <w:wordWrap/>
        <w:overflowPunct/>
        <w:topLinePunct w:val="0"/>
        <w:autoSpaceDE/>
        <w:autoSpaceDN/>
        <w:bidi w:val="0"/>
        <w:spacing w:line="580" w:lineRule="exact"/>
        <w:ind w:firstLine="640" w:firstLineChars="200"/>
        <w:textAlignment w:val="baseline"/>
        <w:rPr>
          <w:rFonts w:ascii="Times New Roman" w:hAnsi="Times New Roman" w:eastAsia="楷体_GB2312"/>
          <w:color w:val="auto"/>
          <w:sz w:val="32"/>
          <w:szCs w:val="32"/>
        </w:rPr>
      </w:pPr>
      <w:r>
        <w:rPr>
          <w:rFonts w:ascii="Times New Roman" w:hAnsi="Times New Roman" w:eastAsia="楷体_GB2312"/>
          <w:color w:val="auto"/>
          <w:sz w:val="32"/>
          <w:szCs w:val="32"/>
        </w:rPr>
        <w:t>（</w:t>
      </w:r>
      <w:r>
        <w:rPr>
          <w:rFonts w:hint="eastAsia" w:ascii="Times New Roman" w:hAnsi="Times New Roman" w:eastAsia="楷体_GB2312"/>
          <w:color w:val="auto"/>
          <w:sz w:val="32"/>
          <w:szCs w:val="32"/>
          <w:lang w:eastAsia="zh-CN"/>
        </w:rPr>
        <w:t>四</w:t>
      </w:r>
      <w:r>
        <w:rPr>
          <w:rFonts w:ascii="Times New Roman" w:hAnsi="Times New Roman" w:eastAsia="楷体_GB2312"/>
          <w:color w:val="auto"/>
          <w:sz w:val="32"/>
          <w:szCs w:val="32"/>
        </w:rPr>
        <w:t>）绩效指标完成情况分析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产出指标完成情况分析</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21" w:firstLineChars="100"/>
        <w:jc w:val="left"/>
        <w:rPr>
          <w:rFonts w:hint="default" w:ascii="Times New Roman" w:hAnsi="Times New Roman" w:eastAsia="仿宋_GB2312"/>
          <w:b w:val="0"/>
          <w:bCs w:val="0"/>
          <w:color w:val="auto"/>
          <w:sz w:val="32"/>
          <w:szCs w:val="32"/>
          <w:lang w:val="en-US" w:eastAsia="zh-CN"/>
        </w:rPr>
      </w:pP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1）补助传统工艺振兴类国家级非遗代表性项目个数。</w:t>
      </w:r>
      <w:r>
        <w:rPr>
          <w:rFonts w:hint="eastAsia" w:ascii="Times New Roman" w:hAnsi="Times New Roman" w:eastAsia="仿宋_GB2312"/>
          <w:b w:val="0"/>
          <w:bCs w:val="0"/>
          <w:color w:val="auto"/>
          <w:sz w:val="32"/>
          <w:szCs w:val="32"/>
          <w:lang w:val="en-US" w:eastAsia="zh-CN"/>
        </w:rPr>
        <w:t>指标值：补助传统工艺振兴类国家级非遗代表性项目个数≥14个。完成情况：根据《中国传统工艺振兴计划》，传统工艺振兴类项目涉及传统美术类、传统技艺类，以及传统医药类中的药物炮制项目、民俗类中的民族服饰项目等。我区2023年国家非遗资金补助的传统工艺类项目有</w:t>
      </w:r>
      <w:r>
        <w:rPr>
          <w:rFonts w:hint="eastAsia" w:ascii="Times New Roman" w:hAnsi="Times New Roman" w:eastAsia="仿宋_GB2312"/>
          <w:color w:val="auto"/>
          <w:sz w:val="32"/>
          <w:szCs w:val="32"/>
        </w:rPr>
        <w:t>广西中医药大学</w:t>
      </w:r>
      <w:r>
        <w:rPr>
          <w:rFonts w:hint="eastAsia" w:ascii="Times New Roman" w:hAnsi="Times New Roman" w:eastAsia="仿宋_GB2312"/>
          <w:color w:val="auto"/>
          <w:sz w:val="32"/>
          <w:szCs w:val="32"/>
          <w:lang w:eastAsia="zh-CN"/>
        </w:rPr>
        <w:t>的壮医药（壮医药线点灸疗法）</w:t>
      </w:r>
      <w:r>
        <w:rPr>
          <w:rFonts w:hint="eastAsia" w:ascii="Times New Roman" w:hAnsi="Times New Roman" w:eastAsia="仿宋_GB2312"/>
          <w:color w:val="auto"/>
          <w:sz w:val="32"/>
          <w:szCs w:val="32"/>
          <w:lang w:val="en-US" w:eastAsia="zh-CN"/>
        </w:rPr>
        <w:t>10万元，南丹县非物质文化遗产保护传承中心的瑶族服饰15万元，环江毛南族自治县非物质文化遗产保护传承中心的竹编（毛南族花竹帽编织技艺）20万元、毛南族肥套15万元，合浦金蝠角雕厂的骨角雕（合浦角雕）15万元，北海市恒兴珠宝有限责任公司的贝雕（北海贝雕）15万元，靖西市文化馆的壮族织锦技艺14.72万元，广西钦州坭兴陶艺有限公司的陶器烧制技艺（钦州坭兴陶烧制技艺）20万元，广西梧州双钱实业有限公司的龟苓膏配制技艺20万元，龙胜各族自治县文化馆的瑶族服饰15万元，苍梧县文化馆的黑茶制作技艺（六堡茶制作技艺）30万元，柳州市群众艺术馆的米粉制作技艺（柳州螺蛳粉制作技艺）15万元，桂林市戏剧创作研究院（桂林市非物质文化遗产保护传承中心）米粉制作技艺（桂林米粉制作技艺）15万元，柳州市群众艺术馆的侗族木构建筑营造技艺20万元，共计14个项目239.72万元，完成该数量指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21" w:firstLineChars="100"/>
        <w:jc w:val="left"/>
        <w:rPr>
          <w:rFonts w:hint="default" w:ascii="Times New Roman" w:hAnsi="Times New Roman" w:eastAsia="仿宋_GB2312"/>
          <w:b w:val="0"/>
          <w:bCs w:val="0"/>
          <w:color w:val="auto"/>
          <w:sz w:val="32"/>
          <w:szCs w:val="32"/>
          <w:lang w:val="en-US" w:eastAsia="zh-CN"/>
        </w:rPr>
      </w:pPr>
      <w:r>
        <w:rPr>
          <w:rFonts w:hint="eastAsia" w:ascii="Times New Roman" w:hAnsi="Times New Roman" w:eastAsia="仿宋_GB2312"/>
          <w:b/>
          <w:bCs/>
          <w:color w:val="auto"/>
          <w:sz w:val="32"/>
          <w:szCs w:val="32"/>
          <w:lang w:val="en-US" w:eastAsia="zh-CN"/>
        </w:rPr>
        <w:t xml:space="preserve">  （2）补助曲艺类国家级非遗代表性项目个数。</w:t>
      </w:r>
      <w:r>
        <w:rPr>
          <w:rFonts w:hint="eastAsia" w:ascii="Times New Roman" w:hAnsi="Times New Roman" w:eastAsia="仿宋_GB2312"/>
          <w:b w:val="0"/>
          <w:bCs w:val="0"/>
          <w:color w:val="auto"/>
          <w:sz w:val="32"/>
          <w:szCs w:val="32"/>
          <w:lang w:val="en-US" w:eastAsia="zh-CN"/>
        </w:rPr>
        <w:t>指标值：补助曲艺类国家级非遗代表性项目个数≥1个。完成情况：我区2023年补助曲艺类国家级非遗项目为</w:t>
      </w:r>
      <w:r>
        <w:rPr>
          <w:rFonts w:hint="eastAsia" w:ascii="Times New Roman" w:hAnsi="Times New Roman" w:eastAsia="仿宋_GB2312"/>
          <w:color w:val="auto"/>
          <w:sz w:val="32"/>
          <w:szCs w:val="32"/>
          <w:lang w:val="en-US" w:eastAsia="zh-CN"/>
        </w:rPr>
        <w:t>桂林市戏剧创作研究院（桂林市非物质文化遗产保护传承中心）的广西文场10万元，完成该数量指标。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21" w:firstLineChars="1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 xml:space="preserve">  （3）补助其他类国家级非遗代表性项目个数。</w:t>
      </w:r>
      <w:r>
        <w:rPr>
          <w:rFonts w:hint="eastAsia" w:ascii="Times New Roman" w:hAnsi="Times New Roman" w:eastAsia="仿宋_GB2312"/>
          <w:b w:val="0"/>
          <w:bCs w:val="0"/>
          <w:color w:val="auto"/>
          <w:sz w:val="32"/>
          <w:szCs w:val="32"/>
          <w:lang w:val="en-US" w:eastAsia="zh-CN"/>
        </w:rPr>
        <w:t>指标值：补助其他类国家级非遗代表性项目个数≥39个。完成情况：</w:t>
      </w:r>
      <w:r>
        <w:rPr>
          <w:rFonts w:ascii="Times New Roman" w:hAnsi="Times New Roman" w:eastAsia="仿宋_GB2312"/>
          <w:color w:val="auto"/>
          <w:sz w:val="32"/>
          <w:szCs w:val="32"/>
        </w:rPr>
        <w:t>补助</w:t>
      </w:r>
      <w:r>
        <w:rPr>
          <w:rFonts w:hint="eastAsia" w:ascii="Times New Roman" w:hAnsi="Times New Roman" w:eastAsia="仿宋_GB2312"/>
          <w:color w:val="auto"/>
          <w:sz w:val="32"/>
          <w:szCs w:val="32"/>
          <w:lang w:val="en-US" w:eastAsia="zh-CN"/>
        </w:rPr>
        <w:t>其余40</w:t>
      </w:r>
      <w:r>
        <w:rPr>
          <w:rFonts w:ascii="Times New Roman" w:hAnsi="Times New Roman" w:eastAsia="仿宋_GB2312"/>
          <w:color w:val="auto"/>
          <w:sz w:val="32"/>
          <w:szCs w:val="32"/>
        </w:rPr>
        <w:t>项年度国家级非物质文化遗产代表性项目保护补助资金</w:t>
      </w:r>
      <w:r>
        <w:rPr>
          <w:rFonts w:hint="eastAsia" w:ascii="Times New Roman" w:hAnsi="Times New Roman" w:eastAsia="仿宋_GB2312"/>
          <w:color w:val="auto"/>
          <w:sz w:val="32"/>
          <w:szCs w:val="32"/>
          <w:lang w:val="en-US" w:eastAsia="zh-CN"/>
        </w:rPr>
        <w:t>1055.28</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。具体为：补助</w:t>
      </w:r>
      <w:r>
        <w:rPr>
          <w:rFonts w:hint="eastAsia" w:ascii="Times New Roman" w:hAnsi="Times New Roman" w:eastAsia="仿宋_GB2312"/>
          <w:color w:val="auto"/>
          <w:sz w:val="32"/>
          <w:szCs w:val="32"/>
          <w:lang w:val="en-US" w:eastAsia="zh-CN"/>
        </w:rPr>
        <w:t>1项</w:t>
      </w:r>
      <w:r>
        <w:rPr>
          <w:rFonts w:ascii="Times New Roman" w:hAnsi="Times New Roman" w:eastAsia="仿宋_GB2312"/>
          <w:color w:val="auto"/>
          <w:sz w:val="32"/>
          <w:szCs w:val="32"/>
        </w:rPr>
        <w:t>崇左市天等县的</w:t>
      </w:r>
      <w:r>
        <w:rPr>
          <w:rFonts w:hint="eastAsia" w:ascii="Times New Roman" w:hAnsi="Times New Roman" w:eastAsia="仿宋_GB2312"/>
          <w:color w:val="auto"/>
          <w:sz w:val="32"/>
          <w:szCs w:val="32"/>
          <w:lang w:val="en-US" w:eastAsia="zh-CN"/>
        </w:rPr>
        <w:t>人类联合国教科文项目（国家级项目）</w:t>
      </w:r>
      <w:r>
        <w:rPr>
          <w:rFonts w:hint="eastAsia" w:ascii="仿宋" w:hAnsi="仿宋" w:eastAsia="仿宋" w:cs="仿宋"/>
          <w:i w:val="0"/>
          <w:caps w:val="0"/>
          <w:color w:val="auto"/>
          <w:spacing w:val="0"/>
          <w:kern w:val="0"/>
          <w:sz w:val="32"/>
          <w:szCs w:val="32"/>
          <w:shd w:val="clear" w:color="auto" w:fill="FFFFFF"/>
          <w:lang w:val="en-US" w:eastAsia="zh-CN" w:bidi="ar"/>
        </w:rPr>
        <w:t>农历二十四节气（壮族霜降节）77万元，</w:t>
      </w:r>
      <w:r>
        <w:rPr>
          <w:rFonts w:hint="eastAsia" w:ascii="Times New Roman" w:hAnsi="Times New Roman" w:eastAsia="仿宋_GB2312"/>
          <w:color w:val="auto"/>
          <w:sz w:val="32"/>
          <w:szCs w:val="32"/>
          <w:lang w:val="en-US" w:eastAsia="zh-CN"/>
        </w:rPr>
        <w:t>广西壮族自治区戏剧院的壮剧80万元、桂剧80万元、彩调80万元，南宁市民族文化艺术研究院的邕剧15万元、粤剧30万元，宾阳县文化馆的宾阳炮龙节13.555万元，东兴市文化馆的京族哈节20万元、京族独弦琴艺术15万元，钦州市非物质文化遗产传承保护中心的民间信俗（钦州跳岭头）4.725万元，河池市非物质文化遗产保护中心的壮族铜鼓习俗10万元，罗城仫佬族自治县文化馆的仫佬族古歌10万元，南丹县非物质文化遗产保护传承中心的铜鼓舞（南丹勤泽格拉）10万元，南宁市民族文化艺术研究院（南宁市戏剧院、南宁市非物质文化遗产保护中心）的壮族歌圩15万元，横县文化馆（横县非物质文化遗产保护中心）的壮族百鸟衣故事10万元，田阳县文化馆的布洛陀10万元、狮舞（田阳壮族狮舞）32万元，那坡县文化馆的那坡壮族民歌25万元，柳州市群众艺术馆的侗族大歌20万元，恭城瑶族自治县油茶协会的茶俗（瑶族油茶习俗）15万元，崇左市群众艺术馆的壮族天琴艺术23万元、壮族侬峒节30万元，河池市非物质文化遗产保护中心的壮族蚂虫另节40万元，资源县文化馆的中元节（资源河灯节）30万元，藤县文化馆的狮舞（藤县狮舞）25万元，富川瑶族自治县文化馆的多声部民歌（瑶族蝴蝶歌）20万元，马山县文化馆的多声部民歌（壮族三声部民歌）20万元、壮族会鼓习俗20万元，南宁市邕宁区文化馆（南宁市邕宁区广播影视站）的抢花炮（壮族抢花炮）30万元，融水苗族自治县文化馆的苗族系列坡会群25万元，巴马瑶族自治县文化馆的敬老习俗（壮族补粮敬老习俗）20万元、瑶族祝著节35万元，金秀瑶族自治县文化馆的瑶族长鼓舞（黄泥鼓舞）30万元，罗城仫佬族自治县文化馆的仫佬族依饭节20万元，凌云县文化馆的凌云壮族七十二巫调音乐15万元，都安瑶族自治县文化馆的壮族打扁担20万元、密洛陀10万元，富川瑶族自治县文化馆的瑶族长鼓舞20万元，金秀瑶族自治县文化馆的规约习俗（瑶族石牌习俗）20万元，南宁市武鸣区文化馆的三月三（壮族三月三）30万元，完成该数量指标。</w:t>
      </w:r>
    </w:p>
    <w:p>
      <w:pPr>
        <w:keepNext w:val="0"/>
        <w:keepLines w:val="0"/>
        <w:pageBreakBefore w:val="0"/>
        <w:widowControl/>
        <w:kinsoku/>
        <w:wordWrap/>
        <w:overflowPunct/>
        <w:topLinePunct w:val="0"/>
        <w:autoSpaceDE/>
        <w:autoSpaceDN/>
        <w:bidi w:val="0"/>
        <w:spacing w:line="580" w:lineRule="exact"/>
        <w:ind w:firstLine="643"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4</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rPr>
        <w:t>开展国家级非遗代表性传承人记录工作人数</w:t>
      </w:r>
      <w:r>
        <w:rPr>
          <w:rFonts w:hint="eastAsia" w:ascii="Times New Roman" w:hAnsi="Times New Roman" w:eastAsia="仿宋_GB2312"/>
          <w:b/>
          <w:bCs/>
          <w:color w:val="auto"/>
          <w:sz w:val="32"/>
          <w:szCs w:val="32"/>
          <w:lang w:val="en-US" w:eastAsia="zh-CN"/>
        </w:rPr>
        <w:t>。</w:t>
      </w:r>
      <w:r>
        <w:rPr>
          <w:rFonts w:hint="eastAsia" w:ascii="Times New Roman" w:hAnsi="Times New Roman" w:eastAsia="仿宋_GB2312"/>
          <w:b w:val="0"/>
          <w:bCs w:val="0"/>
          <w:color w:val="auto"/>
          <w:sz w:val="32"/>
          <w:szCs w:val="32"/>
          <w:lang w:val="en-US" w:eastAsia="zh-CN"/>
        </w:rPr>
        <w:t>指标值：</w:t>
      </w:r>
      <w:r>
        <w:rPr>
          <w:rFonts w:hint="eastAsia" w:ascii="Times New Roman" w:hAnsi="Times New Roman" w:eastAsia="仿宋_GB2312"/>
          <w:b w:val="0"/>
          <w:bCs w:val="0"/>
          <w:color w:val="auto"/>
          <w:sz w:val="32"/>
          <w:szCs w:val="32"/>
        </w:rPr>
        <w:t>开展国家级非遗代表性传承人记录工作人数≥2人</w:t>
      </w:r>
      <w:r>
        <w:rPr>
          <w:rFonts w:hint="eastAsia" w:ascii="Times New Roman" w:hAnsi="Times New Roman" w:eastAsia="仿宋_GB2312"/>
          <w:b w:val="0"/>
          <w:bCs w:val="0"/>
          <w:color w:val="auto"/>
          <w:sz w:val="32"/>
          <w:szCs w:val="32"/>
          <w:lang w:eastAsia="zh-CN"/>
        </w:rPr>
        <w:t>。完成情况：</w:t>
      </w:r>
      <w:r>
        <w:rPr>
          <w:rFonts w:ascii="Times New Roman" w:hAnsi="Times New Roman" w:eastAsia="仿宋_GB2312"/>
          <w:bCs/>
          <w:color w:val="auto"/>
          <w:sz w:val="32"/>
          <w:szCs w:val="32"/>
        </w:rPr>
        <w:t>补助2位国家级代表性传承人</w:t>
      </w:r>
      <w:r>
        <w:rPr>
          <w:rFonts w:ascii="Times New Roman" w:hAnsi="Times New Roman" w:eastAsia="仿宋_GB2312"/>
          <w:bCs/>
          <w:color w:val="auto"/>
          <w:sz w:val="32"/>
          <w:szCs w:val="32"/>
          <w:lang w:val="en-US" w:eastAsia="zh-CN"/>
        </w:rPr>
        <w:t>黄明荣</w:t>
      </w:r>
      <w:r>
        <w:rPr>
          <w:rFonts w:hint="eastAsia" w:ascii="Times New Roman" w:hAnsi="Times New Roman" w:eastAsia="仿宋_GB2312"/>
          <w:bCs/>
          <w:color w:val="auto"/>
          <w:sz w:val="32"/>
          <w:szCs w:val="32"/>
          <w:lang w:val="en-US" w:eastAsia="zh-CN"/>
        </w:rPr>
        <w:t>、韦真礼</w:t>
      </w:r>
      <w:r>
        <w:rPr>
          <w:rFonts w:ascii="Times New Roman" w:hAnsi="Times New Roman" w:eastAsia="仿宋_GB2312"/>
          <w:bCs/>
          <w:color w:val="auto"/>
          <w:sz w:val="32"/>
          <w:szCs w:val="32"/>
        </w:rPr>
        <w:t>抢救性记录补助资金80万元，由广西非遗保护中心负责实施，具体进展如下：</w:t>
      </w:r>
      <w:r>
        <w:rPr>
          <w:rFonts w:hint="eastAsia" w:ascii="Times New Roman" w:hAnsi="Times New Roman" w:eastAsia="仿宋_GB2312"/>
          <w:bCs/>
          <w:color w:val="auto"/>
          <w:sz w:val="32"/>
          <w:szCs w:val="32"/>
          <w:lang w:eastAsia="zh-CN"/>
        </w:rPr>
        <w:t>广西非遗保护</w:t>
      </w:r>
      <w:r>
        <w:rPr>
          <w:rFonts w:hint="eastAsia" w:ascii="Times New Roman" w:hAnsi="Times New Roman" w:eastAsia="仿宋_GB2312"/>
          <w:bCs/>
          <w:color w:val="auto"/>
          <w:sz w:val="32"/>
          <w:szCs w:val="32"/>
        </w:rPr>
        <w:t>中心</w:t>
      </w:r>
      <w:r>
        <w:rPr>
          <w:rFonts w:hint="eastAsia" w:ascii="Times New Roman" w:hAnsi="Times New Roman" w:eastAsia="仿宋_GB2312"/>
          <w:bCs/>
          <w:color w:val="auto"/>
          <w:sz w:val="32"/>
          <w:szCs w:val="32"/>
          <w:lang w:eastAsia="zh-CN"/>
        </w:rPr>
        <w:t>根据</w:t>
      </w:r>
      <w:r>
        <w:rPr>
          <w:rFonts w:hint="eastAsia" w:ascii="Times New Roman" w:hAnsi="Times New Roman" w:eastAsia="仿宋_GB2312"/>
          <w:bCs/>
          <w:color w:val="auto"/>
          <w:sz w:val="32"/>
          <w:szCs w:val="32"/>
        </w:rPr>
        <w:t>政府采购</w:t>
      </w:r>
      <w:r>
        <w:rPr>
          <w:rFonts w:hint="eastAsia" w:ascii="Times New Roman" w:hAnsi="Times New Roman" w:eastAsia="仿宋_GB2312"/>
          <w:bCs/>
          <w:color w:val="auto"/>
          <w:sz w:val="32"/>
          <w:szCs w:val="32"/>
          <w:lang w:eastAsia="zh-CN"/>
        </w:rPr>
        <w:t>相关要求，结合记录工作实际，委托云之龙咨询集团有限公司开展项目采购，并</w:t>
      </w:r>
      <w:r>
        <w:rPr>
          <w:rFonts w:hint="eastAsia" w:ascii="Times New Roman" w:hAnsi="Times New Roman" w:eastAsia="仿宋_GB2312"/>
          <w:bCs/>
          <w:color w:val="auto"/>
          <w:sz w:val="32"/>
          <w:szCs w:val="32"/>
        </w:rPr>
        <w:t>于20</w:t>
      </w:r>
      <w:r>
        <w:rPr>
          <w:rFonts w:hint="eastAsia" w:ascii="Times New Roman" w:hAnsi="Times New Roman" w:eastAsia="仿宋_GB2312"/>
          <w:bCs/>
          <w:color w:val="auto"/>
          <w:sz w:val="32"/>
          <w:szCs w:val="32"/>
          <w:lang w:val="en-US" w:eastAsia="zh-CN"/>
        </w:rPr>
        <w:t>23</w:t>
      </w:r>
      <w:r>
        <w:rPr>
          <w:rFonts w:hint="eastAsia" w:ascii="Times New Roman" w:hAnsi="Times New Roman" w:eastAsia="仿宋_GB2312"/>
          <w:bCs/>
          <w:color w:val="auto"/>
          <w:sz w:val="32"/>
          <w:szCs w:val="32"/>
        </w:rPr>
        <w:t>年</w:t>
      </w:r>
      <w:r>
        <w:rPr>
          <w:rFonts w:hint="eastAsia" w:ascii="Times New Roman" w:hAnsi="Times New Roman" w:eastAsia="仿宋_GB2312"/>
          <w:bCs/>
          <w:color w:val="auto"/>
          <w:sz w:val="32"/>
          <w:szCs w:val="32"/>
          <w:lang w:val="en-US" w:eastAsia="zh-CN"/>
        </w:rPr>
        <w:t>4</w:t>
      </w:r>
      <w:r>
        <w:rPr>
          <w:rFonts w:hint="eastAsia" w:ascii="Times New Roman" w:hAnsi="Times New Roman" w:eastAsia="仿宋_GB2312"/>
          <w:bCs/>
          <w:color w:val="auto"/>
          <w:sz w:val="32"/>
          <w:szCs w:val="32"/>
        </w:rPr>
        <w:t>月完成竞争性磋商工作，</w:t>
      </w:r>
      <w:r>
        <w:rPr>
          <w:rFonts w:hint="eastAsia" w:ascii="Times New Roman" w:hAnsi="Times New Roman" w:eastAsia="仿宋_GB2312"/>
          <w:bCs/>
          <w:color w:val="auto"/>
          <w:sz w:val="32"/>
          <w:szCs w:val="32"/>
          <w:lang w:eastAsia="zh-CN"/>
        </w:rPr>
        <w:t>成交总金额为</w:t>
      </w:r>
      <w:r>
        <w:rPr>
          <w:rFonts w:hint="eastAsia" w:ascii="Times New Roman" w:hAnsi="Times New Roman" w:eastAsia="仿宋_GB2312"/>
          <w:bCs/>
          <w:color w:val="auto"/>
          <w:sz w:val="32"/>
          <w:szCs w:val="32"/>
          <w:lang w:val="en-US" w:eastAsia="zh-CN"/>
        </w:rPr>
        <w:t>77.80</w:t>
      </w:r>
      <w:r>
        <w:rPr>
          <w:rFonts w:hint="eastAsia" w:ascii="Times New Roman" w:hAnsi="Times New Roman" w:eastAsia="仿宋_GB2312"/>
          <w:bCs/>
          <w:color w:val="auto"/>
          <w:sz w:val="32"/>
          <w:szCs w:val="32"/>
        </w:rPr>
        <w:t>万</w:t>
      </w:r>
      <w:r>
        <w:rPr>
          <w:rFonts w:hint="eastAsia" w:ascii="Times New Roman" w:hAnsi="Times New Roman" w:eastAsia="仿宋_GB2312"/>
          <w:bCs/>
          <w:color w:val="auto"/>
          <w:sz w:val="32"/>
          <w:szCs w:val="32"/>
          <w:lang w:eastAsia="zh-CN"/>
        </w:rPr>
        <w:t>元</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剩余</w:t>
      </w:r>
      <w:r>
        <w:rPr>
          <w:rFonts w:hint="eastAsia" w:ascii="Times New Roman" w:hAnsi="Times New Roman" w:eastAsia="仿宋_GB2312"/>
          <w:bCs/>
          <w:color w:val="auto"/>
          <w:sz w:val="32"/>
          <w:szCs w:val="32"/>
        </w:rPr>
        <w:t>金额用于项目负责人（中心人员）的差旅等</w:t>
      </w:r>
      <w:r>
        <w:rPr>
          <w:rFonts w:hint="eastAsia" w:ascii="Times New Roman" w:hAnsi="Times New Roman" w:eastAsia="仿宋_GB2312"/>
          <w:bCs/>
          <w:color w:val="auto"/>
          <w:sz w:val="32"/>
          <w:szCs w:val="32"/>
          <w:lang w:val="en-US" w:eastAsia="zh-CN"/>
        </w:rPr>
        <w:t>。</w:t>
      </w:r>
      <w:r>
        <w:rPr>
          <w:rFonts w:hint="eastAsia" w:ascii="Times New Roman" w:hAnsi="Times New Roman" w:eastAsia="仿宋_GB2312"/>
          <w:bCs/>
          <w:color w:val="auto"/>
          <w:sz w:val="32"/>
          <w:szCs w:val="32"/>
        </w:rPr>
        <w:t>依合同约定，</w:t>
      </w:r>
      <w:r>
        <w:rPr>
          <w:rFonts w:hint="eastAsia" w:ascii="Times New Roman" w:hAnsi="Times New Roman" w:eastAsia="仿宋_GB2312"/>
          <w:bCs/>
          <w:color w:val="auto"/>
          <w:sz w:val="32"/>
          <w:szCs w:val="32"/>
          <w:lang w:eastAsia="zh-CN"/>
        </w:rPr>
        <w:t>成交</w:t>
      </w:r>
      <w:r>
        <w:rPr>
          <w:rFonts w:hint="eastAsia" w:ascii="Times New Roman" w:hAnsi="Times New Roman" w:eastAsia="仿宋_GB2312"/>
          <w:bCs/>
          <w:color w:val="auto"/>
          <w:sz w:val="32"/>
          <w:szCs w:val="32"/>
        </w:rPr>
        <w:t>后支付</w:t>
      </w:r>
      <w:r>
        <w:rPr>
          <w:rFonts w:hint="eastAsia" w:ascii="Times New Roman" w:hAnsi="Times New Roman" w:eastAsia="仿宋_GB2312"/>
          <w:bCs/>
          <w:color w:val="auto"/>
          <w:sz w:val="32"/>
          <w:szCs w:val="32"/>
          <w:lang w:eastAsia="zh-CN"/>
        </w:rPr>
        <w:t>成交人</w:t>
      </w:r>
      <w:r>
        <w:rPr>
          <w:rFonts w:hint="eastAsia" w:ascii="Times New Roman" w:hAnsi="Times New Roman" w:eastAsia="仿宋_GB2312"/>
          <w:bCs/>
          <w:color w:val="auto"/>
          <w:sz w:val="32"/>
          <w:szCs w:val="32"/>
          <w:lang w:val="en-US" w:eastAsia="zh-CN"/>
        </w:rPr>
        <w:t>85</w:t>
      </w:r>
      <w:r>
        <w:rPr>
          <w:rFonts w:hint="eastAsia" w:ascii="Times New Roman" w:hAnsi="Times New Roman" w:eastAsia="仿宋_GB2312"/>
          <w:bCs/>
          <w:color w:val="auto"/>
          <w:sz w:val="32"/>
          <w:szCs w:val="32"/>
        </w:rPr>
        <w:t>%的费用，</w:t>
      </w:r>
      <w:r>
        <w:rPr>
          <w:rFonts w:hint="eastAsia" w:ascii="Times New Roman" w:hAnsi="Times New Roman" w:eastAsia="仿宋_GB2312"/>
          <w:bCs/>
          <w:color w:val="auto"/>
          <w:sz w:val="32"/>
          <w:szCs w:val="32"/>
          <w:lang w:eastAsia="zh-CN"/>
        </w:rPr>
        <w:t>合计</w:t>
      </w:r>
      <w:r>
        <w:rPr>
          <w:rFonts w:hint="eastAsia" w:ascii="Times New Roman" w:hAnsi="Times New Roman" w:eastAsia="仿宋_GB2312"/>
          <w:bCs/>
          <w:color w:val="auto"/>
          <w:sz w:val="32"/>
          <w:szCs w:val="32"/>
          <w:lang w:val="en-US" w:eastAsia="zh-CN"/>
        </w:rPr>
        <w:t>66.13万元。</w:t>
      </w:r>
    </w:p>
    <w:p>
      <w:pPr>
        <w:keepNext w:val="0"/>
        <w:keepLines w:val="0"/>
        <w:pageBreakBefore w:val="0"/>
        <w:kinsoku/>
        <w:wordWrap/>
        <w:overflowPunct/>
        <w:topLinePunct w:val="0"/>
        <w:autoSpaceDE/>
        <w:autoSpaceDN/>
        <w:bidi w:val="0"/>
        <w:spacing w:line="580" w:lineRule="exact"/>
        <w:ind w:firstLine="643" w:firstLineChars="200"/>
        <w:textAlignment w:val="baseline"/>
        <w:rPr>
          <w:rFonts w:hint="default"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（5）研培计划培训班次及培训人次。</w:t>
      </w:r>
      <w:r>
        <w:rPr>
          <w:rFonts w:hint="eastAsia" w:ascii="Times New Roman" w:hAnsi="Times New Roman" w:eastAsia="仿宋_GB2312"/>
          <w:b w:val="0"/>
          <w:bCs w:val="0"/>
          <w:color w:val="auto"/>
          <w:sz w:val="32"/>
          <w:szCs w:val="32"/>
          <w:lang w:val="en-US" w:eastAsia="zh-CN"/>
        </w:rPr>
        <w:t>指标值：研培计划培训班次≥2期；研培计划培训人次≥80人。完成情况：</w:t>
      </w:r>
      <w:r>
        <w:rPr>
          <w:rFonts w:hint="eastAsia" w:ascii="Times New Roman" w:hAnsi="Times New Roman" w:eastAsia="仿宋_GB2312"/>
          <w:color w:val="auto"/>
          <w:sz w:val="32"/>
          <w:szCs w:val="32"/>
          <w:lang w:val="en-US" w:eastAsia="zh-CN"/>
        </w:rPr>
        <w:t>2023年举办传承人研修培训计划班次为4期，具体为：广西民族大学的广西陶瓷烧制技艺传承人培训班35万元、广西彩调传承人培训班35万元，参训人员为60人；广西艺术学院的广西少数民族染织绣文创开发与设计研修班25万元、广西竹藤芒编传统技艺跨界创新设计研修班35万元，参训人员为37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3" w:firstLineChars="200"/>
        <w:jc w:val="both"/>
        <w:textAlignment w:val="auto"/>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b/>
          <w:bCs/>
          <w:color w:val="auto"/>
          <w:sz w:val="32"/>
          <w:szCs w:val="32"/>
          <w:lang w:val="en-US" w:eastAsia="zh-CN"/>
        </w:rPr>
        <w:t>质量指标完成情况。</w:t>
      </w:r>
      <w:r>
        <w:rPr>
          <w:rFonts w:hint="eastAsia" w:ascii="Times New Roman" w:hAnsi="Times New Roman" w:eastAsia="仿宋_GB2312"/>
          <w:b w:val="0"/>
          <w:bCs w:val="0"/>
          <w:color w:val="auto"/>
          <w:sz w:val="32"/>
          <w:szCs w:val="32"/>
          <w:lang w:val="en-US" w:eastAsia="zh-CN"/>
        </w:rPr>
        <w:t>指标值：研培计划合格率≥90%；国家级非遗代表性传承人记录工作验收合格率≥90%。</w:t>
      </w:r>
      <w:r>
        <w:rPr>
          <w:rFonts w:hint="eastAsia" w:ascii="Times New Roman" w:hAnsi="Times New Roman" w:eastAsia="仿宋_GB2312"/>
          <w:b w:val="0"/>
          <w:bCs w:val="0"/>
          <w:color w:val="auto"/>
          <w:sz w:val="32"/>
          <w:szCs w:val="32"/>
          <w:highlight w:val="none"/>
          <w:lang w:val="en-US" w:eastAsia="zh-CN"/>
        </w:rPr>
        <w:t>完成情况：由广西民族大学承办的2023年广西陶瓷烧制技艺传承人群培训班于2023年5月9日开班，培训时长均为一个月，课程包括理论课、实操课、实践课、观摩课等，课程内容丰富，形式多样，共招收学员30人，其中男性学员20人，女性学员10人；汉族学员26人，少数民族学员4人。培训班学员来源地区广泛，主要来自钦州、南宁、北海、荔浦等地；2023 年广西彩调传承人培训班于 2023 年 5 月 8 日在广西民族大学开班， 培训时长为一个月，共培训学员 30 人，其中女性 20 人，男性 10 人。学员大多来自少数民族地区，其中，汉族 11 人，壮族 11 人，瑶族 6 人，侗族 2 人。广西艺术学院承办的广西少数民族染织绣文创开发与设计研修班及广西竹藤芒编传统技艺跨界创新设计研修班均按照计划开展培训。4个研培项目</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通过全国非物质文化遗产保护工作管理平台进行申请、备案、考核，授课期间严格按照培训计划执行全天候考勤管理，学员学习档案齐备，培训效果良好，总体培训</w:t>
      </w:r>
      <w:r>
        <w:rPr>
          <w:rFonts w:hint="eastAsia" w:ascii="Times New Roman" w:hAnsi="Times New Roman" w:eastAsia="仿宋_GB2312"/>
          <w:b w:val="0"/>
          <w:bCs w:val="0"/>
          <w:color w:val="000000" w:themeColor="text1"/>
          <w:sz w:val="32"/>
          <w:szCs w:val="32"/>
          <w:highlight w:val="none"/>
          <w14:textFill>
            <w14:solidFill>
              <w14:schemeClr w14:val="tx1"/>
            </w14:solidFill>
          </w14:textFill>
        </w:rPr>
        <w:t>合格率</w:t>
      </w:r>
      <w:r>
        <w:rPr>
          <w:rFonts w:hint="eastAsia" w:ascii="Times New Roman" w:hAnsi="Times New Roman" w:eastAsia="仿宋_GB2312"/>
          <w:b w:val="0"/>
          <w:bCs w:val="0"/>
          <w:color w:val="000000" w:themeColor="text1"/>
          <w:sz w:val="32"/>
          <w:szCs w:val="32"/>
          <w:highlight w:val="none"/>
          <w:lang w:eastAsia="zh-CN"/>
          <w14:textFill>
            <w14:solidFill>
              <w14:schemeClr w14:val="tx1"/>
            </w14:solidFill>
          </w14:textFill>
        </w:rPr>
        <w:t>达</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92%。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both"/>
        <w:textAlignment w:val="auto"/>
        <w:rPr>
          <w:rFonts w:hint="eastAsia" w:ascii="Times New Roman" w:hAnsi="Times New Roman" w:eastAsia="仿宋_GB2312"/>
          <w:b w:val="0"/>
          <w:bCs/>
          <w:color w:val="auto"/>
          <w:sz w:val="32"/>
          <w:szCs w:val="32"/>
          <w:highlight w:val="none"/>
          <w:lang w:val="en-US" w:eastAsia="zh-CN"/>
        </w:rPr>
      </w:pPr>
      <w:r>
        <w:rPr>
          <w:rFonts w:hint="default" w:ascii="仿宋_GB2312" w:hAnsi="仿宋_GB2312" w:eastAsia="仿宋_GB2312" w:cs="仿宋_GB2312"/>
          <w:b w:val="0"/>
          <w:bCs/>
          <w:sz w:val="32"/>
          <w:szCs w:val="32"/>
          <w:highlight w:val="none"/>
          <w:lang w:val="en-US" w:eastAsia="zh-CN"/>
        </w:rPr>
        <w:t>广西非物质文化遗产保护中心严格按照《国家级非物质文化遗产保护专项资金管理办法》相关要求，将经费全部用于</w:t>
      </w:r>
      <w:r>
        <w:rPr>
          <w:rFonts w:hint="eastAsia" w:ascii="Times New Roman" w:hAnsi="Times New Roman" w:eastAsia="仿宋_GB2312"/>
          <w:b w:val="0"/>
          <w:bCs w:val="0"/>
          <w:color w:val="auto"/>
          <w:sz w:val="32"/>
          <w:szCs w:val="32"/>
          <w:lang w:val="en-US" w:eastAsia="zh-CN"/>
        </w:rPr>
        <w:t>国家级非遗代表性传承人</w:t>
      </w:r>
      <w:r>
        <w:rPr>
          <w:rFonts w:hint="default" w:ascii="仿宋_GB2312" w:hAnsi="仿宋_GB2312" w:eastAsia="仿宋_GB2312" w:cs="仿宋_GB2312"/>
          <w:b w:val="0"/>
          <w:bCs/>
          <w:sz w:val="32"/>
          <w:szCs w:val="32"/>
          <w:highlight w:val="none"/>
          <w:lang w:val="en-US" w:eastAsia="zh-CN"/>
        </w:rPr>
        <w:t>记录工作，认真组织开展拍摄服务采购工作。项目采购工作委托云之龙咨询集团有限公司开展，并于</w:t>
      </w:r>
      <w:r>
        <w:rPr>
          <w:rFonts w:hint="eastAsia" w:ascii="仿宋_GB2312" w:hAnsi="仿宋_GB2312" w:eastAsia="仿宋_GB2312" w:cs="仿宋_GB2312"/>
          <w:b w:val="0"/>
          <w:bCs/>
          <w:sz w:val="32"/>
          <w:szCs w:val="32"/>
          <w:highlight w:val="none"/>
          <w:lang w:val="en-US" w:eastAsia="zh-CN"/>
        </w:rPr>
        <w:t>2023年4</w:t>
      </w:r>
      <w:r>
        <w:rPr>
          <w:rFonts w:hint="default" w:ascii="仿宋_GB2312" w:hAnsi="仿宋_GB2312" w:eastAsia="仿宋_GB2312" w:cs="仿宋_GB2312"/>
          <w:b w:val="0"/>
          <w:bCs/>
          <w:sz w:val="32"/>
          <w:szCs w:val="32"/>
          <w:highlight w:val="none"/>
          <w:lang w:val="en-US" w:eastAsia="zh-CN"/>
        </w:rPr>
        <w:t>月底完成采购工作。实际成交总金额为77.</w:t>
      </w:r>
      <w:r>
        <w:rPr>
          <w:rFonts w:hint="eastAsia" w:ascii="仿宋_GB2312" w:hAnsi="仿宋_GB2312" w:eastAsia="仿宋_GB2312" w:cs="仿宋_GB2312"/>
          <w:b w:val="0"/>
          <w:bCs/>
          <w:sz w:val="32"/>
          <w:szCs w:val="32"/>
          <w:highlight w:val="none"/>
          <w:lang w:val="en-US" w:eastAsia="zh-CN"/>
        </w:rPr>
        <w:t>80</w:t>
      </w:r>
      <w:r>
        <w:rPr>
          <w:rFonts w:hint="default" w:ascii="仿宋_GB2312" w:hAnsi="仿宋_GB2312" w:eastAsia="仿宋_GB2312" w:cs="仿宋_GB2312"/>
          <w:b w:val="0"/>
          <w:bCs/>
          <w:sz w:val="32"/>
          <w:szCs w:val="32"/>
          <w:highlight w:val="none"/>
          <w:lang w:val="en-US" w:eastAsia="zh-CN"/>
        </w:rPr>
        <w:t>万元，其中A分标38.</w:t>
      </w:r>
      <w:r>
        <w:rPr>
          <w:rFonts w:hint="eastAsia" w:ascii="仿宋_GB2312" w:hAnsi="仿宋_GB2312" w:eastAsia="仿宋_GB2312" w:cs="仿宋_GB2312"/>
          <w:b w:val="0"/>
          <w:bCs/>
          <w:sz w:val="32"/>
          <w:szCs w:val="32"/>
          <w:highlight w:val="none"/>
          <w:lang w:val="en-US" w:eastAsia="zh-CN"/>
        </w:rPr>
        <w:t>90</w:t>
      </w:r>
      <w:r>
        <w:rPr>
          <w:rFonts w:hint="default" w:ascii="仿宋_GB2312" w:hAnsi="仿宋_GB2312" w:eastAsia="仿宋_GB2312" w:cs="仿宋_GB2312"/>
          <w:b w:val="0"/>
          <w:bCs/>
          <w:sz w:val="32"/>
          <w:szCs w:val="32"/>
          <w:highlight w:val="none"/>
          <w:lang w:val="en-US" w:eastAsia="zh-CN"/>
        </w:rPr>
        <w:t>万元，B分标38.90万元，剩余金额用于项目负责人（中心人员）</w:t>
      </w:r>
      <w:r>
        <w:rPr>
          <w:rFonts w:hint="eastAsia" w:ascii="仿宋_GB2312" w:hAnsi="仿宋_GB2312" w:eastAsia="仿宋_GB2312" w:cs="仿宋_GB2312"/>
          <w:b w:val="0"/>
          <w:bCs/>
          <w:sz w:val="32"/>
          <w:szCs w:val="32"/>
          <w:highlight w:val="none"/>
          <w:lang w:val="en-US" w:eastAsia="zh-CN"/>
        </w:rPr>
        <w:t>开展项目相关工作</w:t>
      </w:r>
      <w:r>
        <w:rPr>
          <w:rFonts w:hint="default" w:ascii="仿宋_GB2312" w:hAnsi="仿宋_GB2312" w:eastAsia="仿宋_GB2312" w:cs="仿宋_GB2312"/>
          <w:b w:val="0"/>
          <w:bCs/>
          <w:sz w:val="32"/>
          <w:szCs w:val="32"/>
          <w:highlight w:val="none"/>
          <w:lang w:val="en-US" w:eastAsia="zh-CN"/>
        </w:rPr>
        <w:t>的差旅等</w:t>
      </w:r>
      <w:r>
        <w:rPr>
          <w:rFonts w:hint="eastAsia" w:ascii="仿宋_GB2312" w:hAnsi="仿宋_GB2312" w:eastAsia="仿宋_GB2312" w:cs="仿宋_GB2312"/>
          <w:b w:val="0"/>
          <w:bCs/>
          <w:sz w:val="32"/>
          <w:szCs w:val="32"/>
          <w:highlight w:val="none"/>
          <w:lang w:val="en-US" w:eastAsia="zh-CN"/>
        </w:rPr>
        <w:t>。项目经费使用与资金管理办法相符，符合项目预算批复和合同规定用途，资金使用严格按照审批程序办理，操作规范，会计核算真实准确、无挪用、挤占、虚列支出等情况，资金使用产生效益。</w:t>
      </w:r>
      <w:r>
        <w:rPr>
          <w:rFonts w:hint="eastAsia" w:ascii="仿宋_GB2312" w:hAnsi="仿宋_GB2312" w:eastAsia="仿宋_GB2312" w:cs="仿宋_GB2312"/>
          <w:b w:val="0"/>
          <w:bCs/>
          <w:szCs w:val="32"/>
          <w:highlight w:val="none"/>
        </w:rPr>
        <w:t>2023年3月，广西非遗保护中心启动“铜鼓舞（田林瑶族铜鼓舞）”“壮族铜鼓习俗”国家级非遗代表性传承人记录工作。一是完成项目审批、采购、合同签订等工作；二是组织编制采集方案，并于12月召开采集方案评审会，评审专家一致通过项目采集方案；三是中标实施团队稳步开展前期调研和信息采集工作。</w:t>
      </w:r>
      <w:r>
        <w:rPr>
          <w:rFonts w:hint="eastAsia" w:ascii="仿宋_GB2312" w:hAnsi="仿宋_GB2312" w:eastAsia="仿宋_GB2312" w:cs="仿宋_GB2312"/>
          <w:b w:val="0"/>
          <w:bCs/>
          <w:szCs w:val="32"/>
          <w:highlight w:val="none"/>
          <w:lang w:eastAsia="zh-CN"/>
        </w:rPr>
        <w:t>目前</w:t>
      </w:r>
      <w:r>
        <w:rPr>
          <w:rFonts w:hint="eastAsia" w:ascii="仿宋_GB2312" w:hAnsi="仿宋_GB2312" w:eastAsia="仿宋_GB2312" w:cs="仿宋_GB2312"/>
          <w:b w:val="0"/>
          <w:bCs/>
          <w:szCs w:val="32"/>
          <w:highlight w:val="none"/>
        </w:rPr>
        <w:t>已采集到视频146小时，音频100小时，图片4500张，口述速记文字稿100万字，正式、非正式出版物以及电子、实物文献1200份，总量合计10TB，很好地完成了2023年度绩效目标任务，</w:t>
      </w:r>
      <w:r>
        <w:rPr>
          <w:rFonts w:hint="eastAsia" w:ascii="Times New Roman" w:hAnsi="Times New Roman" w:eastAsia="仿宋_GB2312"/>
          <w:b w:val="0"/>
          <w:bCs/>
          <w:color w:val="auto"/>
          <w:sz w:val="32"/>
          <w:szCs w:val="32"/>
          <w:highlight w:val="none"/>
        </w:rPr>
        <w:t>国家级非遗代表性传承人记录工作验收合格率</w:t>
      </w:r>
      <w:r>
        <w:rPr>
          <w:rFonts w:hint="eastAsia" w:ascii="Times New Roman" w:hAnsi="Times New Roman" w:eastAsia="仿宋_GB2312"/>
          <w:b w:val="0"/>
          <w:bCs/>
          <w:color w:val="auto"/>
          <w:sz w:val="32"/>
          <w:szCs w:val="32"/>
          <w:highlight w:val="none"/>
          <w:lang w:eastAsia="zh-CN"/>
        </w:rPr>
        <w:t>达</w:t>
      </w:r>
      <w:r>
        <w:rPr>
          <w:rFonts w:hint="eastAsia" w:ascii="Times New Roman" w:hAnsi="Times New Roman" w:eastAsia="仿宋_GB2312"/>
          <w:b w:val="0"/>
          <w:bCs/>
          <w:color w:val="auto"/>
          <w:sz w:val="32"/>
          <w:szCs w:val="32"/>
          <w:highlight w:val="none"/>
          <w:lang w:val="en-US" w:eastAsia="zh-CN"/>
        </w:rPr>
        <w:t>100%。</w:t>
      </w:r>
    </w:p>
    <w:p>
      <w:pPr>
        <w:keepNext w:val="0"/>
        <w:keepLines w:val="0"/>
        <w:pageBreakBefore w:val="0"/>
        <w:kinsoku/>
        <w:wordWrap/>
        <w:overflowPunct/>
        <w:topLinePunct w:val="0"/>
        <w:autoSpaceDE/>
        <w:autoSpaceDN/>
        <w:bidi w:val="0"/>
        <w:spacing w:line="580" w:lineRule="exact"/>
        <w:ind w:firstLine="640" w:firstLineChars="200"/>
        <w:textAlignment w:val="baseline"/>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b/>
          <w:bCs/>
          <w:color w:val="000000" w:themeColor="text1"/>
          <w:sz w:val="32"/>
          <w:szCs w:val="32"/>
          <w:lang w:val="en-US" w:eastAsia="zh-CN"/>
          <w14:textFill>
            <w14:solidFill>
              <w14:schemeClr w14:val="tx1"/>
            </w14:solidFill>
          </w14:textFill>
        </w:rPr>
        <w:t>时效指标完成情况。</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指标值：研培计划结业时间为2023年12月前；国家级非遗代表性传承人记录工作招投标完成时间2023年6月前。完成情况：</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广西陶瓷烧制技艺传承人群培训班及广西彩调传承人培训班培训时间为2023年5月8日至6月6日；广西少数民族染织绣文创开发与设计研修班及广西竹藤芒编传统技艺跨界创新设计研修班培训时间为2023年10月16日至11月14日</w:t>
      </w:r>
      <w:r>
        <w:rPr>
          <w:rFonts w:hint="eastAsia" w:ascii="Times New Roman" w:hAnsi="Times New Roman" w:eastAsia="仿宋_GB2312"/>
          <w:color w:val="000000" w:themeColor="text1"/>
          <w:sz w:val="32"/>
          <w:szCs w:val="32"/>
          <w:lang w:val="en-US" w:eastAsia="zh-CN"/>
          <w14:textFill>
            <w14:solidFill>
              <w14:schemeClr w14:val="tx1"/>
            </w14:solidFill>
          </w14:textFill>
        </w:rPr>
        <w:t>；国家级非遗代表性传承人记录工作招投标完成时间为2023年4月。</w:t>
      </w:r>
    </w:p>
    <w:p>
      <w:pPr>
        <w:keepNext w:val="0"/>
        <w:keepLines w:val="0"/>
        <w:pageBreakBefore w:val="0"/>
        <w:kinsoku/>
        <w:wordWrap/>
        <w:overflowPunct/>
        <w:topLinePunct w:val="0"/>
        <w:autoSpaceDE/>
        <w:autoSpaceDN/>
        <w:bidi w:val="0"/>
        <w:spacing w:line="580" w:lineRule="exact"/>
        <w:ind w:firstLine="640" w:firstLineChars="200"/>
        <w:textAlignment w:val="baseline"/>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2.效益指标完成情况分析</w:t>
      </w:r>
    </w:p>
    <w:p>
      <w:pPr>
        <w:keepNext w:val="0"/>
        <w:keepLines w:val="0"/>
        <w:pageBreakBefore w:val="0"/>
        <w:kinsoku/>
        <w:wordWrap/>
        <w:overflowPunct/>
        <w:topLinePunct w:val="0"/>
        <w:autoSpaceDE/>
        <w:autoSpaceDN/>
        <w:bidi w:val="0"/>
        <w:spacing w:line="58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b/>
          <w:bCs/>
          <w:color w:val="auto"/>
          <w:sz w:val="32"/>
          <w:szCs w:val="32"/>
          <w:lang w:val="en-US" w:eastAsia="zh-CN"/>
        </w:rPr>
        <w:t>经济效益指标。</w:t>
      </w:r>
      <w:r>
        <w:rPr>
          <w:rFonts w:hint="eastAsia" w:ascii="Times New Roman" w:hAnsi="Times New Roman" w:eastAsia="仿宋_GB2312" w:cs="Times New Roman"/>
          <w:b w:val="0"/>
          <w:bCs w:val="0"/>
          <w:color w:val="auto"/>
          <w:sz w:val="32"/>
          <w:szCs w:val="32"/>
          <w:lang w:val="en-US" w:eastAsia="zh-CN"/>
        </w:rPr>
        <w:t>指标值：研培计划参与学员相关产品销售额增长率≥5%；研培计划参与学员相关产品种类增长率≥5%；研培计划参与学员相关产品销售渠道增长率≥5%。</w:t>
      </w:r>
      <w:r>
        <w:rPr>
          <w:rFonts w:hint="eastAsia" w:ascii="Times New Roman" w:hAnsi="Times New Roman" w:eastAsia="仿宋_GB2312" w:cs="Times New Roman"/>
          <w:b/>
          <w:bCs/>
          <w:color w:val="auto"/>
          <w:sz w:val="32"/>
          <w:szCs w:val="32"/>
          <w:lang w:val="en-US" w:eastAsia="zh-CN"/>
        </w:rPr>
        <w:t>完成情况：</w:t>
      </w:r>
      <w:r>
        <w:rPr>
          <w:rFonts w:hint="eastAsia" w:ascii="Times New Roman" w:hAnsi="Times New Roman" w:eastAsia="仿宋_GB2312" w:cs="Times New Roman"/>
          <w:b w:val="0"/>
          <w:bCs w:val="0"/>
          <w:color w:val="auto"/>
          <w:sz w:val="32"/>
          <w:szCs w:val="32"/>
          <w:lang w:val="en-US" w:eastAsia="zh-CN"/>
        </w:rPr>
        <w:t>2023年研培计划项目注重实践环节并加强创新。如广西民族大学在陶瓷烧制技艺传承人群培训班后期组织了一场主题为“陶瓷创新与发展”交流座谈会，特别邀请了广西艺术学院张燕根教授对学员的60余件作品进行现场点评，增进了学员的实际操作能力。4个培训班项目注重培养学员们的创新意识与创新能力，鼓励他们在尊重传统的基础上，结合当代审美趋势和市场需求进行创作。既增强了传承人的专业知识、文化艺术素养、审美能力和创新能力，拓宽了他们的视野，丰富了他们今后的作品语言与创作特色，并着力推动学员们非遗产品的展示和销售。在“文化和自然遗产日”和“广西非遗购物节”主题活动、“</w:t>
      </w:r>
      <w:r>
        <w:rPr>
          <w:rFonts w:hint="default" w:ascii="Times New Roman" w:hAnsi="Times New Roman" w:eastAsia="仿宋_GB2312" w:cs="Times New Roman"/>
          <w:b w:val="0"/>
          <w:bCs w:val="0"/>
          <w:color w:val="auto"/>
          <w:sz w:val="32"/>
          <w:szCs w:val="32"/>
          <w:lang w:val="en-US" w:eastAsia="zh-CN"/>
        </w:rPr>
        <w:t>首届北京国际非遗周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和第二十届世界广西同乡联谊大会（澳门）等区内外非遗展示活动</w:t>
      </w:r>
      <w:r>
        <w:rPr>
          <w:rFonts w:hint="eastAsia" w:ascii="Times New Roman" w:hAnsi="Times New Roman" w:eastAsia="仿宋_GB2312" w:cs="Times New Roman"/>
          <w:b w:val="0"/>
          <w:bCs w:val="0"/>
          <w:color w:val="auto"/>
          <w:sz w:val="32"/>
          <w:szCs w:val="32"/>
          <w:lang w:val="en-US" w:eastAsia="zh-CN"/>
        </w:rPr>
        <w:t>中，均有学员作品参与了展示展销活动，累计展示非遗产品200余种，销售额达1000多万元。区内外主要媒体对活动进行多层次的报道，在微信公众号、微博、抖音、快手、视频号、小红书、今日头条等多平台进行直播或者推出活动推文、短视频关注度达</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到1300万人次，进一步提升了我区非遗商品的知名度和影响力。相较于2022年广西民族大学举办的广西壮剧传承人培训班及广西艺术学院举办的广西少数民族染织绣服饰与文创产品设计研修班，2023年4个班次的研培计划内容更为丰富、实际操作性更强，更侧重于学员动手设计能力和商业运作思维的提升。在“壮族三月三”及相关节庆活动期间，各地文旅部门有针对性安排研培学员及传承人群参与非遗展览展示展销活动，有效促进了传承人工作室、非遗工坊及相关产业的保护和发展。2023年研培计划参与学员相关产品销售额为1036万元，相比2022年的973万元增长率达6%；2023年研培计划参与学员相关产品种类达218种，相比2022年的203种增长率达5%；2023年研培计划参与学员相关产品销售渠道为微信公众号、微博、抖音、快手、视频号、小红书、今日头条等多平台，相比2022年的5条增长率达5%。</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b w:val="0"/>
          <w:bCs/>
          <w:color w:val="auto"/>
          <w:sz w:val="32"/>
          <w:szCs w:val="32"/>
          <w:highlight w:val="none"/>
          <w:lang w:val="en-US"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b/>
          <w:bCs/>
          <w:color w:val="auto"/>
          <w:sz w:val="32"/>
          <w:szCs w:val="32"/>
          <w:lang w:val="en-US" w:eastAsia="zh-CN"/>
        </w:rPr>
        <w:t>社会效益指标。</w:t>
      </w:r>
      <w:r>
        <w:rPr>
          <w:rFonts w:hint="eastAsia" w:ascii="Times New Roman" w:hAnsi="Times New Roman" w:eastAsia="仿宋_GB2312"/>
          <w:b w:val="0"/>
          <w:bCs w:val="0"/>
          <w:color w:val="auto"/>
          <w:sz w:val="32"/>
          <w:szCs w:val="32"/>
          <w:lang w:val="en-US" w:eastAsia="zh-CN"/>
        </w:rPr>
        <w:t>指标值：非遗传承人增长率≥2%；培训非遗传承人合格率≥90%。</w:t>
      </w:r>
      <w:r>
        <w:rPr>
          <w:rFonts w:hint="eastAsia" w:ascii="Times New Roman" w:hAnsi="Times New Roman" w:eastAsia="仿宋_GB2312"/>
          <w:b/>
          <w:bCs/>
          <w:color w:val="auto"/>
          <w:sz w:val="32"/>
          <w:szCs w:val="32"/>
          <w:highlight w:val="none"/>
          <w:lang w:val="en-US" w:eastAsia="zh-CN"/>
        </w:rPr>
        <w:t>完成情况：</w:t>
      </w:r>
      <w:r>
        <w:rPr>
          <w:rFonts w:hint="eastAsia" w:ascii="Times New Roman" w:hAnsi="Times New Roman" w:eastAsia="方正仿宋_GBK" w:cs="Times New Roman"/>
          <w:color w:val="auto"/>
          <w:kern w:val="2"/>
          <w:sz w:val="32"/>
          <w:szCs w:val="32"/>
          <w:lang w:val="en-US" w:eastAsia="zh-CN" w:bidi="ar-SA"/>
        </w:rPr>
        <w:t>年内，自治区文化和旅游厅牵头组织区内“壮族织锦技艺”</w:t>
      </w:r>
      <w:r>
        <w:rPr>
          <w:rFonts w:hint="default" w:ascii="Times New Roman" w:hAnsi="Times New Roman" w:eastAsia="方正仿宋_GBK" w:cs="Times New Roman"/>
          <w:color w:val="auto"/>
          <w:kern w:val="2"/>
          <w:sz w:val="32"/>
          <w:szCs w:val="32"/>
          <w:lang w:val="en-US" w:eastAsia="zh-CN" w:bidi="ar-SA"/>
        </w:rPr>
        <w:t>“六堡茶制作技艺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瑶族油茶习俗</w:t>
      </w:r>
      <w:r>
        <w:rPr>
          <w:rFonts w:hint="eastAsia" w:ascii="Times New Roman" w:hAnsi="Times New Roman" w:eastAsia="方正仿宋_GBK" w:cs="Times New Roman"/>
          <w:color w:val="auto"/>
          <w:kern w:val="2"/>
          <w:sz w:val="32"/>
          <w:szCs w:val="32"/>
          <w:lang w:val="en-US" w:eastAsia="zh-CN" w:bidi="ar-SA"/>
        </w:rPr>
        <w:t>”等非遗项目代表性传承人前往参加首届北京国际非遗周活动，并依托此平台组织开展了“壮美广西  多彩非遗”2023年广西非遗助力乡村振兴艺术展示展演活动，向全球40多个国家外展示了广西特有传统文化；组织“壮族打扁担”“毛南族花竹帽编织技艺”“六堡茶制作技艺”等非遗项目国家级传承人赴成都参与第八届中国成都国际非遗节。通过各类展示展销活动，向国际社会展示广西履行《保护非物质文化遗产公约》的积极作为，展示传承弘扬中华优秀传统文化的非遗故事。国家级、省级、市级、县级传承人总数明显增长，由2022年的4637人增长为2023年的4892人，</w:t>
      </w:r>
      <w:r>
        <w:rPr>
          <w:rFonts w:hint="eastAsia" w:ascii="Times New Roman" w:hAnsi="Times New Roman" w:eastAsia="仿宋_GB2312"/>
          <w:b w:val="0"/>
          <w:bCs/>
          <w:color w:val="auto"/>
          <w:sz w:val="32"/>
          <w:szCs w:val="32"/>
          <w:highlight w:val="none"/>
          <w:lang w:val="en-US" w:eastAsia="zh-CN"/>
        </w:rPr>
        <w:t>非遗传承人增长率超3%；通过开展传承人研修培训计划、全区非遗业务骨干培训班、全区旅游商品培训班等提升非遗传承人传承水平及旅游商品开展能力</w:t>
      </w:r>
      <w:r>
        <w:rPr>
          <w:rFonts w:hint="eastAsia" w:ascii="Times New Roman" w:hAnsi="Times New Roman" w:eastAsia="仿宋_GB2312"/>
          <w:b w:val="0"/>
          <w:bCs/>
          <w:color w:val="000000" w:themeColor="text1"/>
          <w:sz w:val="32"/>
          <w:szCs w:val="32"/>
          <w:highlight w:val="none"/>
          <w:lang w:val="en-US" w:eastAsia="zh-CN"/>
          <w14:textFill>
            <w14:solidFill>
              <w14:schemeClr w14:val="tx1"/>
            </w14:solidFill>
          </w14:textFill>
        </w:rPr>
        <w:t>，培训人数达217人，由于个别传承人工作冲突，共有200名学员培训合格获得结业证书，培训非遗传承人合格率达92%。</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（3）可持续影响指标。</w:t>
      </w:r>
      <w:r>
        <w:rPr>
          <w:rFonts w:hint="eastAsia" w:ascii="Times New Roman" w:hAnsi="Times New Roman" w:eastAsia="仿宋_GB2312" w:cs="Times New Roman"/>
          <w:b w:val="0"/>
          <w:bCs w:val="0"/>
          <w:color w:val="auto"/>
          <w:sz w:val="32"/>
          <w:szCs w:val="32"/>
          <w:lang w:val="en-US" w:eastAsia="zh-CN"/>
        </w:rPr>
        <w:t>指标值：对提高非遗领域理论研究水平的影响为长期；对提升非遗传承人技能艺能的影响为长期；对增强非遗保护传承氛围的影响为长期；对提升非遗社会关注度的影响为长期；对扩大我国非遗保护工作国际影响力的作用为长期。</w:t>
      </w:r>
      <w:r>
        <w:rPr>
          <w:rFonts w:hint="eastAsia" w:ascii="Times New Roman" w:hAnsi="Times New Roman" w:eastAsia="仿宋_GB2312" w:cs="Times New Roman"/>
          <w:b/>
          <w:bCs/>
          <w:color w:val="auto"/>
          <w:sz w:val="32"/>
          <w:szCs w:val="32"/>
          <w:lang w:val="en-US" w:eastAsia="zh-CN"/>
        </w:rPr>
        <w:t>完成情况</w:t>
      </w:r>
      <w:r>
        <w:rPr>
          <w:rFonts w:hint="eastAsia" w:ascii="Times New Roman" w:hAnsi="Times New Roman" w:eastAsia="仿宋_GB2312" w:cs="Times New Roman"/>
          <w:b w:val="0"/>
          <w:bCs w:val="0"/>
          <w:color w:val="auto"/>
          <w:sz w:val="32"/>
          <w:szCs w:val="32"/>
          <w:lang w:val="en-US" w:eastAsia="zh-CN"/>
        </w:rPr>
        <w:t>：各项可持续影响指标发展符合预期，完成率均为100%。2023年内，成功创建国家级文化生态保护区——铜鼓文化（河池）生态保护区，</w:t>
      </w:r>
      <w:r>
        <w:rPr>
          <w:rFonts w:hint="default" w:ascii="Times New Roman" w:hAnsi="Times New Roman" w:eastAsia="仿宋_GB2312" w:cs="Times New Roman"/>
          <w:b w:val="0"/>
          <w:bCs w:val="0"/>
          <w:color w:val="auto"/>
          <w:sz w:val="32"/>
          <w:szCs w:val="32"/>
          <w:lang w:val="en-US" w:eastAsia="zh-CN"/>
        </w:rPr>
        <w:t>创新举办“壮族三月三·桂风壮韵浓”、广西—东盟民族服饰秀、“百县千菜 广西美味”非遗美食大赛等，打造非遗传承体验新空间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聚力维护民族团结</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紧密结合铸牢中华民族共同体意识，以非遗传承保护带动民族团结进步示范创建</w:t>
      </w:r>
      <w:r>
        <w:rPr>
          <w:rFonts w:hint="eastAsia" w:ascii="Times New Roman" w:hAnsi="Times New Roman" w:eastAsia="仿宋_GB2312" w:cs="Times New Roman"/>
          <w:b w:val="0"/>
          <w:bCs w:val="0"/>
          <w:color w:val="auto"/>
          <w:sz w:val="32"/>
          <w:szCs w:val="32"/>
          <w:lang w:val="en-US" w:eastAsia="zh-CN"/>
        </w:rPr>
        <w:t>，加快推进全区各市成立非遗保护发展协会，</w:t>
      </w:r>
      <w:r>
        <w:rPr>
          <w:rFonts w:hint="default" w:ascii="Times New Roman" w:hAnsi="Times New Roman" w:eastAsia="仿宋_GB2312" w:cs="Times New Roman"/>
          <w:b w:val="0"/>
          <w:bCs w:val="0"/>
          <w:color w:val="auto"/>
          <w:sz w:val="32"/>
          <w:szCs w:val="32"/>
          <w:lang w:val="en-US" w:eastAsia="zh-CN"/>
        </w:rPr>
        <w:t>组织全区多个非遗代表性项目以及传承人赴北京、武汉开展“三月三”文化旅游宣传暨广西非遗精品艺术展演，活动以“静态展示、动态展演、活态展陈、现场展销”广西非遗宣传新模式，大力宣传广西多彩的民族风情，让国内外游客近距离领略广西的民族之炫、非遗之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2023</w:t>
      </w:r>
      <w:r>
        <w:rPr>
          <w:rFonts w:hint="eastAsia" w:ascii="Times New Roman" w:hAnsi="Times New Roman" w:eastAsia="仿宋_GB2312"/>
          <w:color w:val="auto"/>
          <w:sz w:val="32"/>
          <w:szCs w:val="32"/>
          <w:lang w:eastAsia="zh-CN"/>
        </w:rPr>
        <w:t>年内，自治区文化和旅游厅持续打造</w:t>
      </w:r>
      <w:r>
        <w:rPr>
          <w:rFonts w:hint="eastAsia" w:ascii="Times New Roman" w:hAnsi="Times New Roman" w:eastAsia="仿宋_GB2312"/>
          <w:color w:val="auto"/>
          <w:sz w:val="32"/>
          <w:szCs w:val="32"/>
        </w:rPr>
        <w:t>“壮美广西·多彩非遗”非遗展示传播品牌</w:t>
      </w:r>
      <w:r>
        <w:rPr>
          <w:rFonts w:hint="eastAsia" w:ascii="Times New Roman" w:hAnsi="Times New Roman" w:eastAsia="仿宋_GB2312"/>
          <w:color w:val="auto"/>
          <w:sz w:val="32"/>
          <w:szCs w:val="32"/>
          <w:lang w:eastAsia="zh-CN"/>
        </w:rPr>
        <w:t>，组织了“壮美广西·多彩非遗”——广西非遗精品展示展演活动，成功举办“文化和自然遗产日”和“广西非遗购物节”主题活动，多次举办非遗进校园、进社区、进乡村，非遗影响力不断扩大。</w:t>
      </w:r>
      <w:r>
        <w:rPr>
          <w:rFonts w:hint="eastAsia" w:ascii="Times New Roman" w:hAnsi="Times New Roman" w:eastAsia="仿宋_GB2312"/>
          <w:color w:val="000000" w:themeColor="text1"/>
          <w:sz w:val="32"/>
          <w:szCs w:val="32"/>
          <w:lang w:val="en-US" w:eastAsia="zh-CN"/>
          <w14:textFill>
            <w14:solidFill>
              <w14:schemeClr w14:val="tx1"/>
            </w14:solidFill>
          </w14:textFill>
        </w:rPr>
        <w:t>2023</w:t>
      </w:r>
      <w:r>
        <w:rPr>
          <w:rFonts w:hint="eastAsia" w:ascii="Times New Roman" w:hAnsi="Times New Roman" w:eastAsia="仿宋_GB2312"/>
          <w:color w:val="000000" w:themeColor="text1"/>
          <w:sz w:val="32"/>
          <w:szCs w:val="32"/>
          <w:lang w:eastAsia="zh-CN"/>
          <w14:textFill>
            <w14:solidFill>
              <w14:schemeClr w14:val="tx1"/>
            </w14:solidFill>
          </w14:textFill>
        </w:rPr>
        <w:t>年度国家非遗资金用好用实，非遗项目保护单位满意度达</w:t>
      </w:r>
      <w:r>
        <w:rPr>
          <w:rFonts w:hint="eastAsia" w:ascii="Times New Roman" w:hAnsi="Times New Roman" w:eastAsia="仿宋_GB2312"/>
          <w:color w:val="000000" w:themeColor="text1"/>
          <w:sz w:val="32"/>
          <w:szCs w:val="32"/>
          <w:lang w:val="en-US" w:eastAsia="zh-CN"/>
          <w14:textFill>
            <w14:solidFill>
              <w14:schemeClr w14:val="tx1"/>
            </w14:solidFill>
          </w14:textFill>
        </w:rPr>
        <w:t>95%；</w:t>
      </w:r>
      <w:r>
        <w:rPr>
          <w:rFonts w:hint="eastAsia" w:ascii="Times New Roman" w:hAnsi="Times New Roman" w:eastAsia="仿宋_GB2312"/>
          <w:color w:val="000000" w:themeColor="text1"/>
          <w:sz w:val="32"/>
          <w:szCs w:val="32"/>
          <w:lang w:eastAsia="zh-CN"/>
          <w14:textFill>
            <w14:solidFill>
              <w14:schemeClr w14:val="tx1"/>
            </w14:solidFill>
          </w14:textFill>
        </w:rPr>
        <w:t>传承人记录工作扎实有序开展，参与国家级非遗代表性传承人记录工作对象满意度达</w:t>
      </w:r>
      <w:r>
        <w:rPr>
          <w:rFonts w:hint="eastAsia" w:ascii="Times New Roman" w:hAnsi="Times New Roman" w:eastAsia="仿宋_GB2312"/>
          <w:color w:val="000000" w:themeColor="text1"/>
          <w:sz w:val="32"/>
          <w:szCs w:val="32"/>
          <w:lang w:val="en-US" w:eastAsia="zh-CN"/>
          <w14:textFill>
            <w14:solidFill>
              <w14:schemeClr w14:val="tx1"/>
            </w14:solidFill>
          </w14:textFill>
        </w:rPr>
        <w:t>100%；研培计划课程丰富、实用性强，</w:t>
      </w:r>
      <w:r>
        <w:rPr>
          <w:rFonts w:hint="eastAsia" w:ascii="Times New Roman" w:hAnsi="Times New Roman" w:eastAsia="仿宋_GB2312"/>
          <w:color w:val="000000" w:themeColor="text1"/>
          <w:sz w:val="32"/>
          <w:szCs w:val="32"/>
          <w:lang w:eastAsia="zh-CN"/>
          <w14:textFill>
            <w14:solidFill>
              <w14:schemeClr w14:val="tx1"/>
            </w14:solidFill>
          </w14:textFill>
        </w:rPr>
        <w:t>参与研培计划的非遗传承人满意度达</w:t>
      </w:r>
      <w:r>
        <w:rPr>
          <w:rFonts w:hint="eastAsia" w:ascii="Times New Roman" w:hAnsi="Times New Roman" w:eastAsia="仿宋_GB2312"/>
          <w:color w:val="000000" w:themeColor="text1"/>
          <w:sz w:val="32"/>
          <w:szCs w:val="32"/>
          <w:lang w:val="en-US" w:eastAsia="zh-CN"/>
          <w14:textFill>
            <w14:solidFill>
              <w14:schemeClr w14:val="tx1"/>
            </w14:solidFill>
          </w14:textFill>
        </w:rPr>
        <w:t>98%。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黑体"/>
          <w:color w:val="auto"/>
          <w:sz w:val="32"/>
          <w:szCs w:val="32"/>
        </w:rPr>
      </w:pPr>
      <w:r>
        <w:rPr>
          <w:rFonts w:ascii="Times New Roman" w:hAnsi="Times New Roman" w:eastAsia="黑体"/>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综合分析全区各级保护</w:t>
      </w:r>
      <w:r>
        <w:rPr>
          <w:rFonts w:ascii="Times New Roman" w:hAnsi="Times New Roman" w:eastAsia="仿宋_GB2312"/>
          <w:color w:val="auto"/>
          <w:sz w:val="32"/>
          <w:szCs w:val="32"/>
        </w:rPr>
        <w:t>单位反馈情况，</w:t>
      </w:r>
      <w:r>
        <w:rPr>
          <w:rFonts w:hint="eastAsia" w:ascii="Times New Roman" w:hAnsi="Times New Roman" w:eastAsia="仿宋_GB2312"/>
          <w:color w:val="auto"/>
          <w:sz w:val="32"/>
          <w:szCs w:val="32"/>
          <w:lang w:val="en-US" w:eastAsia="zh-CN"/>
        </w:rPr>
        <w:t>2023年国家非遗</w:t>
      </w:r>
      <w:r>
        <w:rPr>
          <w:rFonts w:ascii="Times New Roman" w:hAnsi="Times New Roman" w:eastAsia="仿宋_GB2312"/>
          <w:color w:val="auto"/>
          <w:sz w:val="32"/>
          <w:szCs w:val="32"/>
        </w:rPr>
        <w:t>资金使用进度适宜，取得很好的效益，</w:t>
      </w:r>
      <w:r>
        <w:rPr>
          <w:rFonts w:hint="eastAsia" w:ascii="Times New Roman" w:hAnsi="Times New Roman" w:eastAsia="仿宋_GB2312"/>
          <w:color w:val="auto"/>
          <w:sz w:val="32"/>
          <w:szCs w:val="32"/>
          <w:lang w:eastAsia="zh-CN"/>
        </w:rPr>
        <w:t>执行率高于</w:t>
      </w:r>
      <w:r>
        <w:rPr>
          <w:rFonts w:hint="eastAsia" w:ascii="Times New Roman" w:hAnsi="Times New Roman" w:eastAsia="仿宋_GB2312"/>
          <w:color w:val="auto"/>
          <w:sz w:val="32"/>
          <w:szCs w:val="32"/>
          <w:lang w:val="en-US" w:eastAsia="zh-CN"/>
        </w:rPr>
        <w:t>2022年。</w:t>
      </w:r>
      <w:r>
        <w:rPr>
          <w:rFonts w:ascii="Times New Roman" w:hAnsi="Times New Roman" w:eastAsia="仿宋_GB2312"/>
          <w:color w:val="auto"/>
          <w:sz w:val="32"/>
          <w:szCs w:val="32"/>
        </w:rPr>
        <w:t>但部分项目执行率不够高。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baseline"/>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w:t>
      </w:r>
      <w:r>
        <w:rPr>
          <w:rFonts w:ascii="Times New Roman" w:hAnsi="Times New Roman" w:eastAsia="仿宋_GB2312"/>
          <w:color w:val="auto"/>
          <w:sz w:val="32"/>
          <w:szCs w:val="32"/>
        </w:rPr>
        <w:t>偏离绩效目标的原因。具体问题表现为：一是</w:t>
      </w:r>
      <w:r>
        <w:rPr>
          <w:rFonts w:hint="eastAsia" w:ascii="Times New Roman" w:hAnsi="Times New Roman" w:eastAsia="仿宋_GB2312"/>
          <w:color w:val="auto"/>
          <w:sz w:val="32"/>
          <w:szCs w:val="32"/>
          <w:lang w:eastAsia="zh-CN"/>
        </w:rPr>
        <w:t>基层财政状况吃紧，</w:t>
      </w:r>
      <w:r>
        <w:rPr>
          <w:rFonts w:hint="default" w:ascii="Times New Roman" w:hAnsi="Times New Roman" w:eastAsia="仿宋_GB2312"/>
          <w:color w:val="auto"/>
          <w:sz w:val="32"/>
          <w:szCs w:val="32"/>
          <w:lang w:val="en" w:eastAsia="zh-CN"/>
        </w:rPr>
        <w:t>部分</w:t>
      </w:r>
      <w:r>
        <w:rPr>
          <w:rFonts w:hint="eastAsia" w:ascii="Times New Roman" w:hAnsi="Times New Roman" w:eastAsia="仿宋_GB2312"/>
          <w:color w:val="auto"/>
          <w:sz w:val="32"/>
          <w:szCs w:val="32"/>
        </w:rPr>
        <w:t>县区受经济下行等客观因素影响，县区财政运转相对困难</w:t>
      </w:r>
      <w:r>
        <w:rPr>
          <w:rFonts w:hint="eastAsia" w:ascii="Times New Roman" w:hAnsi="Times New Roman" w:eastAsia="仿宋_GB2312"/>
          <w:color w:val="auto"/>
          <w:sz w:val="32"/>
          <w:szCs w:val="32"/>
          <w:lang w:eastAsia="zh-CN"/>
        </w:rPr>
        <w:t>，导致部分</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lang w:eastAsia="zh-CN"/>
        </w:rPr>
        <w:t>支出进度较慢</w:t>
      </w:r>
      <w:r>
        <w:rPr>
          <w:rFonts w:ascii="Times New Roman" w:hAnsi="Times New Roman" w:eastAsia="仿宋_GB2312"/>
          <w:color w:val="auto"/>
          <w:sz w:val="32"/>
          <w:szCs w:val="32"/>
        </w:rPr>
        <w:t>。二是基层非遗传承人群的数量</w:t>
      </w:r>
      <w:r>
        <w:rPr>
          <w:rFonts w:hint="eastAsia" w:ascii="Times New Roman" w:hAnsi="Times New Roman" w:eastAsia="仿宋_GB2312"/>
          <w:color w:val="auto"/>
          <w:sz w:val="32"/>
          <w:szCs w:val="32"/>
          <w:lang w:eastAsia="zh-CN"/>
        </w:rPr>
        <w:t>偏</w:t>
      </w:r>
      <w:r>
        <w:rPr>
          <w:rFonts w:ascii="Times New Roman" w:hAnsi="Times New Roman" w:eastAsia="仿宋_GB2312"/>
          <w:color w:val="auto"/>
          <w:sz w:val="32"/>
          <w:szCs w:val="32"/>
        </w:rPr>
        <w:t>少，</w:t>
      </w:r>
      <w:r>
        <w:rPr>
          <w:rFonts w:hint="eastAsia" w:ascii="Times New Roman" w:hAnsi="Times New Roman" w:eastAsia="仿宋_GB2312"/>
          <w:color w:val="auto"/>
          <w:sz w:val="32"/>
          <w:szCs w:val="32"/>
          <w:lang w:eastAsia="zh-CN"/>
        </w:rPr>
        <w:t>学徒人才学历层次偏低，个别传承人由于年老体弱</w:t>
      </w:r>
      <w:r>
        <w:rPr>
          <w:rFonts w:ascii="Times New Roman" w:hAnsi="Times New Roman" w:eastAsia="仿宋_GB2312"/>
          <w:color w:val="auto"/>
          <w:sz w:val="32"/>
          <w:szCs w:val="32"/>
        </w:rPr>
        <w:t>传习能力有限，部分传习活动开展质量不高。三是</w:t>
      </w:r>
      <w:r>
        <w:rPr>
          <w:rFonts w:hint="eastAsia" w:ascii="Times New Roman" w:hAnsi="Times New Roman" w:eastAsia="仿宋_GB2312"/>
          <w:color w:val="auto"/>
          <w:sz w:val="32"/>
          <w:szCs w:val="32"/>
          <w:lang w:eastAsia="zh-CN"/>
        </w:rPr>
        <w:t>资金投入产出比较低，非遗产品的经济效益和社会效益有待提高。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（二）改进措施。</w:t>
      </w:r>
      <w:r>
        <w:rPr>
          <w:rFonts w:hint="eastAsia" w:ascii="Times New Roman" w:hAnsi="Times New Roman" w:eastAsia="仿宋_GB2312"/>
          <w:color w:val="auto"/>
          <w:sz w:val="32"/>
          <w:szCs w:val="32"/>
          <w:lang w:eastAsia="zh-CN"/>
        </w:rPr>
        <w:t>自治区文化和旅游厅、</w:t>
      </w:r>
      <w:r>
        <w:rPr>
          <w:rFonts w:ascii="Times New Roman" w:hAnsi="Times New Roman" w:eastAsia="仿宋_GB2312"/>
          <w:color w:val="auto"/>
          <w:sz w:val="32"/>
          <w:szCs w:val="32"/>
        </w:rPr>
        <w:t>自治区财政厅</w:t>
      </w:r>
      <w:r>
        <w:rPr>
          <w:rFonts w:hint="eastAsia" w:ascii="Times New Roman" w:hAnsi="Times New Roman" w:eastAsia="仿宋_GB2312"/>
          <w:color w:val="auto"/>
          <w:sz w:val="32"/>
          <w:szCs w:val="32"/>
          <w:lang w:eastAsia="zh-CN"/>
        </w:rPr>
        <w:t>将加大监督力度，</w:t>
      </w:r>
      <w:r>
        <w:rPr>
          <w:rFonts w:ascii="Times New Roman" w:hAnsi="Times New Roman" w:eastAsia="仿宋_GB2312"/>
          <w:color w:val="auto"/>
          <w:sz w:val="32"/>
          <w:szCs w:val="32"/>
        </w:rPr>
        <w:t>指导</w:t>
      </w:r>
      <w:r>
        <w:rPr>
          <w:rFonts w:hint="eastAsia" w:ascii="Times New Roman" w:hAnsi="Times New Roman" w:eastAsia="仿宋_GB2312"/>
          <w:color w:val="auto"/>
          <w:sz w:val="32"/>
          <w:szCs w:val="32"/>
          <w:lang w:eastAsia="zh-CN"/>
        </w:rPr>
        <w:t>并督促各地加快项目实施和资金支出进度</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合法规范有效使用资金，</w:t>
      </w:r>
      <w:r>
        <w:rPr>
          <w:rFonts w:ascii="Times New Roman" w:hAnsi="Times New Roman" w:eastAsia="仿宋_GB2312"/>
          <w:color w:val="auto"/>
          <w:sz w:val="32"/>
          <w:szCs w:val="32"/>
        </w:rPr>
        <w:t>提高资金使用效益。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三）相关建议。积极的工作态度和有效的落实措施是落实资金使用工作的基础，开展绩效评估是国家非物质文化遗产保护资金工作顺利完成的保障，加强文化旅游部门和财政部门密切配合是完成绩效评估的关键。当前该项工作存在的问题主要是各</w:t>
      </w:r>
      <w:r>
        <w:rPr>
          <w:rFonts w:hint="eastAsia" w:ascii="Times New Roman" w:hAnsi="Times New Roman" w:eastAsia="仿宋_GB2312"/>
          <w:color w:val="auto"/>
          <w:sz w:val="32"/>
          <w:szCs w:val="32"/>
          <w:lang w:eastAsia="zh-CN"/>
        </w:rPr>
        <w:t>项目保护</w:t>
      </w:r>
      <w:r>
        <w:rPr>
          <w:rFonts w:ascii="Times New Roman" w:hAnsi="Times New Roman" w:eastAsia="仿宋_GB2312"/>
          <w:color w:val="auto"/>
          <w:sz w:val="32"/>
          <w:szCs w:val="32"/>
        </w:rPr>
        <w:t>单位在岗人员</w:t>
      </w:r>
      <w:r>
        <w:rPr>
          <w:rFonts w:hint="eastAsia" w:ascii="Times New Roman" w:hAnsi="Times New Roman" w:eastAsia="仿宋_GB2312"/>
          <w:color w:val="auto"/>
          <w:sz w:val="32"/>
          <w:szCs w:val="32"/>
          <w:lang w:eastAsia="zh-CN"/>
        </w:rPr>
        <w:t>较</w:t>
      </w:r>
      <w:r>
        <w:rPr>
          <w:rFonts w:ascii="Times New Roman" w:hAnsi="Times New Roman" w:eastAsia="仿宋_GB2312"/>
          <w:color w:val="auto"/>
          <w:sz w:val="32"/>
          <w:szCs w:val="32"/>
        </w:rPr>
        <w:t>少，</w:t>
      </w:r>
      <w:r>
        <w:rPr>
          <w:rFonts w:hint="eastAsia" w:ascii="Times New Roman" w:hAnsi="Times New Roman" w:eastAsia="仿宋_GB2312"/>
          <w:color w:val="auto"/>
          <w:sz w:val="32"/>
          <w:szCs w:val="32"/>
          <w:lang w:eastAsia="zh-CN"/>
        </w:rPr>
        <w:t>负责资金申报管理工作的人员频繁更换</w:t>
      </w:r>
      <w:r>
        <w:rPr>
          <w:rFonts w:ascii="Times New Roman" w:hAnsi="Times New Roman" w:eastAsia="仿宋_GB2312"/>
          <w:color w:val="auto"/>
          <w:sz w:val="32"/>
          <w:szCs w:val="32"/>
        </w:rPr>
        <w:t>，填报人员工作能力不高</w:t>
      </w:r>
      <w:r>
        <w:rPr>
          <w:rFonts w:hint="eastAsia" w:ascii="Times New Roman" w:hAnsi="Times New Roman" w:eastAsia="仿宋_GB2312"/>
          <w:color w:val="auto"/>
          <w:sz w:val="32"/>
          <w:szCs w:val="32"/>
          <w:lang w:eastAsia="zh-CN"/>
        </w:rPr>
        <w:t>、衔接性不好</w:t>
      </w:r>
      <w:r>
        <w:rPr>
          <w:rFonts w:ascii="Times New Roman" w:hAnsi="Times New Roman" w:eastAsia="仿宋_GB2312"/>
          <w:color w:val="auto"/>
          <w:sz w:val="32"/>
          <w:szCs w:val="32"/>
        </w:rPr>
        <w:t>，未能深刻领会中央和自治区</w:t>
      </w:r>
      <w:r>
        <w:rPr>
          <w:rFonts w:hint="eastAsia" w:ascii="Times New Roman" w:hAnsi="Times New Roman" w:eastAsia="仿宋_GB2312"/>
          <w:color w:val="auto"/>
          <w:sz w:val="32"/>
          <w:szCs w:val="32"/>
          <w:lang w:eastAsia="zh-CN"/>
        </w:rPr>
        <w:t>级</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和文旅主管部门对于中央转移支付资金和绩效管理的相关</w:t>
      </w:r>
      <w:r>
        <w:rPr>
          <w:rFonts w:ascii="Times New Roman" w:hAnsi="Times New Roman" w:eastAsia="仿宋_GB2312"/>
          <w:color w:val="auto"/>
          <w:sz w:val="32"/>
          <w:szCs w:val="32"/>
        </w:rPr>
        <w:t>要求。建议</w:t>
      </w:r>
      <w:r>
        <w:rPr>
          <w:rFonts w:hint="eastAsia" w:ascii="Times New Roman" w:hAnsi="Times New Roman" w:eastAsia="仿宋_GB2312"/>
          <w:color w:val="auto"/>
          <w:sz w:val="32"/>
          <w:szCs w:val="32"/>
          <w:lang w:eastAsia="zh-CN"/>
        </w:rPr>
        <w:t>在下一步工作中，</w:t>
      </w:r>
      <w:r>
        <w:rPr>
          <w:rFonts w:ascii="Times New Roman" w:hAnsi="Times New Roman" w:eastAsia="仿宋_GB2312"/>
          <w:color w:val="auto"/>
          <w:sz w:val="32"/>
          <w:szCs w:val="32"/>
        </w:rPr>
        <w:t>相关部门密切配合，继续强化对资金使用单位的监管力度，对敷衍塞责、进度落后的单位严肃处理，提高各地各单位强化国家非遗保护资金管理和使用的自觉性。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黑体"/>
          <w:color w:val="auto"/>
          <w:sz w:val="32"/>
          <w:szCs w:val="32"/>
        </w:rPr>
      </w:pPr>
      <w:r>
        <w:rPr>
          <w:rFonts w:ascii="Times New Roman" w:hAnsi="Times New Roman" w:eastAsia="黑体"/>
          <w:color w:val="auto"/>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上述绩效评估情况将作为自治区文化和旅游厅督导各非物质文化遗产保护单位和资金使用单位工作的重要参考和依据</w:t>
      </w:r>
      <w:r>
        <w:rPr>
          <w:rFonts w:hint="eastAsia" w:ascii="Times New Roman" w:hAnsi="Times New Roman" w:eastAsia="仿宋_GB2312"/>
          <w:color w:val="auto"/>
          <w:sz w:val="32"/>
          <w:szCs w:val="32"/>
          <w:lang w:eastAsia="zh-CN"/>
        </w:rPr>
        <w:t>并</w:t>
      </w:r>
      <w:r>
        <w:rPr>
          <w:rFonts w:ascii="Times New Roman" w:hAnsi="Times New Roman" w:eastAsia="仿宋_GB2312"/>
          <w:color w:val="auto"/>
          <w:sz w:val="32"/>
          <w:szCs w:val="32"/>
        </w:rPr>
        <w:t>将根据财政部门的要求和相关规定，在</w:t>
      </w:r>
      <w:r>
        <w:rPr>
          <w:rFonts w:hint="eastAsia" w:ascii="Times New Roman" w:hAnsi="Times New Roman" w:eastAsia="仿宋_GB2312"/>
          <w:color w:val="auto"/>
          <w:sz w:val="32"/>
          <w:szCs w:val="32"/>
        </w:rPr>
        <w:t>自治区文化和旅游厅官方</w:t>
      </w:r>
      <w:r>
        <w:rPr>
          <w:rFonts w:ascii="Times New Roman" w:hAnsi="Times New Roman" w:eastAsia="仿宋_GB2312"/>
          <w:color w:val="auto"/>
          <w:sz w:val="32"/>
          <w:szCs w:val="32"/>
        </w:rPr>
        <w:t>网站公开</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bCs/>
          <w:kern w:val="2"/>
          <w:sz w:val="32"/>
          <w:szCs w:val="32"/>
          <w:lang w:val="en-US" w:eastAsia="zh-CN" w:bidi="ar"/>
        </w:rPr>
        <w:t>公开内容包括转移支付基本情况、绩效目标实现情况、绩效自评结论等，</w:t>
      </w:r>
      <w:r>
        <w:rPr>
          <w:rFonts w:hint="eastAsia" w:ascii="仿宋_GB2312" w:hAnsi="仿宋_GB2312" w:eastAsia="仿宋_GB2312" w:cs="仿宋_GB2312"/>
          <w:sz w:val="32"/>
          <w:szCs w:val="32"/>
          <w:lang w:eastAsia="zh-CN"/>
        </w:rPr>
        <w:t>同时抄送</w:t>
      </w:r>
      <w:r>
        <w:rPr>
          <w:rFonts w:hint="eastAsia" w:ascii="仿宋_GB2312" w:hAnsi="仿宋_GB2312" w:eastAsia="仿宋_GB2312" w:cs="仿宋_GB2312"/>
          <w:sz w:val="32"/>
          <w:szCs w:val="32"/>
        </w:rPr>
        <w:t>财政部广西监管局、自治区人大财经委</w:t>
      </w:r>
      <w:r>
        <w:rPr>
          <w:rFonts w:hint="eastAsia" w:ascii="仿宋_GB2312" w:hAnsi="仿宋_GB2312" w:eastAsia="仿宋_GB2312" w:cs="仿宋_GB2312"/>
          <w:sz w:val="32"/>
          <w:szCs w:val="32"/>
          <w:lang w:eastAsia="zh-CN"/>
        </w:rPr>
        <w:t>。</w:t>
      </w:r>
      <w:r>
        <w:rPr>
          <w:rFonts w:hint="eastAsia" w:ascii="Times New Roman" w:hAnsi="Times New Roman" w:eastAsia="仿宋_GB2312"/>
          <w:color w:val="auto"/>
          <w:sz w:val="32"/>
          <w:szCs w:val="32"/>
          <w:lang w:eastAsia="zh-CN"/>
        </w:rPr>
        <w:t>在下一步工作中，自治区文化和旅游厅将根据各地市、各保护单位资金管理和绩效自评情况，进一步优化各项目资金分配数额，加大对濒危项目、极富本土特色的项目支持力度，指导保护单位制订好完善的申报材料和绩效目标，优化资金管理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黑体"/>
          <w:color w:val="auto"/>
          <w:sz w:val="32"/>
          <w:szCs w:val="32"/>
        </w:rPr>
      </w:pPr>
      <w:r>
        <w:rPr>
          <w:rFonts w:ascii="Times New Roman" w:hAnsi="Times New Roman" w:eastAsia="黑体"/>
          <w:color w:val="auto"/>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ascii="Times New Roman" w:hAnsi="Times New Roman" w:eastAsia="仿宋_GB2312"/>
          <w:color w:val="auto"/>
          <w:sz w:val="32"/>
          <w:szCs w:val="32"/>
        </w:rPr>
      </w:pPr>
      <w:r>
        <w:rPr>
          <w:rFonts w:ascii="Times New Roman" w:hAnsi="Times New Roman" w:eastAsia="仿宋_GB2312"/>
          <w:color w:val="auto"/>
          <w:sz w:val="32"/>
          <w:szCs w:val="32"/>
        </w:rPr>
        <w:t>无。</w:t>
      </w:r>
    </w:p>
    <w:p>
      <w:pPr>
        <w:spacing w:line="540" w:lineRule="exact"/>
        <w:ind w:firstLine="640" w:firstLineChars="200"/>
        <w:textAlignment w:val="baseline"/>
        <w:rPr>
          <w:rFonts w:ascii="Times New Roman" w:hAnsi="Times New Roman" w:eastAsia="仿宋_GB2312"/>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ascii="Times New Roman" w:hAnsi="Times New Roman" w:eastAsia="黑体"/>
          <w:color w:val="auto"/>
          <w:sz w:val="32"/>
          <w:szCs w:val="32"/>
        </w:rPr>
      </w:pPr>
    </w:p>
    <w:p>
      <w:pPr>
        <w:spacing w:before="128" w:after="42"/>
        <w:ind w:right="731"/>
        <w:jc w:val="left"/>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2</w:t>
      </w:r>
    </w:p>
    <w:p>
      <w:pPr>
        <w:spacing w:before="128" w:after="42"/>
        <w:ind w:right="731"/>
        <w:jc w:val="center"/>
        <w:rPr>
          <w:rFonts w:hint="eastAsia" w:ascii="Times New Roman" w:hAnsi="Times New Roman" w:eastAsia="方正小标宋简体"/>
          <w:color w:val="auto"/>
          <w:sz w:val="32"/>
          <w:szCs w:val="32"/>
          <w:lang w:val="en-US" w:eastAsia="zh-CN"/>
        </w:rPr>
      </w:pPr>
      <w:r>
        <w:rPr>
          <w:rFonts w:hint="eastAsia" w:ascii="Times New Roman" w:hAnsi="Times New Roman" w:eastAsia="方正小标宋简体"/>
          <w:color w:val="auto"/>
          <w:sz w:val="32"/>
          <w:szCs w:val="32"/>
          <w:lang w:val="en-US" w:eastAsia="zh-CN"/>
        </w:rPr>
        <w:t xml:space="preserve">    </w:t>
      </w:r>
    </w:p>
    <w:p>
      <w:pPr>
        <w:spacing w:before="128" w:after="42"/>
        <w:ind w:right="731"/>
        <w:jc w:val="center"/>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国家非物质文化遗产保护资金</w:t>
      </w:r>
      <w:r>
        <w:rPr>
          <w:rFonts w:ascii="Times New Roman" w:hAnsi="Times New Roman" w:eastAsia="方正小标宋简体"/>
          <w:color w:val="auto"/>
          <w:sz w:val="32"/>
          <w:szCs w:val="32"/>
        </w:rPr>
        <w:t>区域绩效目标自评表</w:t>
      </w:r>
    </w:p>
    <w:p>
      <w:pPr>
        <w:spacing w:before="128" w:after="42"/>
        <w:ind w:left="499" w:right="731"/>
        <w:jc w:val="center"/>
        <w:rPr>
          <w:rFonts w:ascii="Times New Roman" w:hAnsi="Times New Roman" w:eastAsia="方正小标宋简体"/>
          <w:color w:val="auto"/>
          <w:sz w:val="22"/>
        </w:rPr>
      </w:pPr>
      <w:r>
        <w:rPr>
          <w:rFonts w:ascii="Times New Roman" w:hAnsi="Times New Roman" w:eastAsia="方正小标宋简体"/>
          <w:color w:val="auto"/>
          <w:sz w:val="32"/>
          <w:szCs w:val="32"/>
        </w:rPr>
        <w:t>（202</w:t>
      </w:r>
      <w:r>
        <w:rPr>
          <w:rFonts w:hint="eastAsia" w:ascii="Times New Roman" w:hAnsi="Times New Roman" w:eastAsia="方正小标宋简体"/>
          <w:color w:val="auto"/>
          <w:sz w:val="32"/>
          <w:szCs w:val="32"/>
          <w:lang w:val="en-US" w:eastAsia="zh-CN"/>
        </w:rPr>
        <w:t>3</w:t>
      </w:r>
      <w:r>
        <w:rPr>
          <w:rFonts w:ascii="Times New Roman" w:hAnsi="Times New Roman" w:eastAsia="方正小标宋简体"/>
          <w:color w:val="auto"/>
          <w:sz w:val="32"/>
          <w:szCs w:val="32"/>
        </w:rPr>
        <w:t>年度）</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09"/>
        <w:gridCol w:w="283"/>
        <w:gridCol w:w="959"/>
        <w:gridCol w:w="977"/>
        <w:gridCol w:w="1918"/>
        <w:gridCol w:w="1059"/>
        <w:gridCol w:w="186"/>
        <w:gridCol w:w="573"/>
        <w:gridCol w:w="552"/>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716" w:type="dxa"/>
            <w:gridSpan w:val="3"/>
            <w:noWrap w:val="0"/>
            <w:vAlign w:val="top"/>
          </w:tcPr>
          <w:p>
            <w:pPr>
              <w:pStyle w:val="19"/>
              <w:spacing w:before="27"/>
              <w:ind w:left="255" w:right="24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转移支付</w:t>
            </w:r>
          </w:p>
          <w:p>
            <w:pPr>
              <w:pStyle w:val="19"/>
              <w:spacing w:before="56"/>
              <w:ind w:left="255" w:right="249"/>
              <w:jc w:val="center"/>
              <w:rPr>
                <w:rFonts w:hint="eastAsia" w:ascii="宋体" w:hAnsi="宋体" w:eastAsia="宋体" w:cs="宋体"/>
                <w:color w:val="auto"/>
                <w:sz w:val="20"/>
                <w:szCs w:val="20"/>
              </w:rPr>
            </w:pPr>
            <w:r>
              <w:rPr>
                <w:rFonts w:hint="eastAsia" w:ascii="宋体" w:hAnsi="宋体" w:eastAsia="宋体" w:cs="宋体"/>
                <w:color w:val="auto"/>
                <w:w w:val="65"/>
                <w:sz w:val="20"/>
                <w:szCs w:val="20"/>
              </w:rPr>
              <w:t>（</w:t>
            </w:r>
            <w:r>
              <w:rPr>
                <w:rFonts w:hint="eastAsia" w:ascii="宋体" w:hAnsi="宋体" w:eastAsia="宋体" w:cs="宋体"/>
                <w:color w:val="auto"/>
                <w:spacing w:val="-4"/>
                <w:sz w:val="20"/>
                <w:szCs w:val="20"/>
              </w:rPr>
              <w:t xml:space="preserve"> </w:t>
            </w:r>
            <w:r>
              <w:rPr>
                <w:rFonts w:hint="eastAsia" w:ascii="宋体" w:hAnsi="宋体" w:eastAsia="宋体" w:cs="宋体"/>
                <w:color w:val="auto"/>
                <w:w w:val="90"/>
                <w:sz w:val="20"/>
                <w:szCs w:val="20"/>
              </w:rPr>
              <w:t>项目</w:t>
            </w:r>
            <w:r>
              <w:rPr>
                <w:rFonts w:hint="eastAsia" w:ascii="宋体" w:hAnsi="宋体" w:eastAsia="宋体" w:cs="宋体"/>
                <w:color w:val="auto"/>
                <w:w w:val="65"/>
                <w:sz w:val="20"/>
                <w:szCs w:val="20"/>
              </w:rPr>
              <w:t>）</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5"/>
                <w:w w:val="90"/>
                <w:sz w:val="20"/>
                <w:szCs w:val="20"/>
              </w:rPr>
              <w:t>名称</w:t>
            </w:r>
          </w:p>
        </w:tc>
        <w:tc>
          <w:tcPr>
            <w:tcW w:w="7768" w:type="dxa"/>
            <w:gridSpan w:val="8"/>
            <w:noWrap w:val="0"/>
            <w:vAlign w:val="center"/>
          </w:tcPr>
          <w:p>
            <w:pPr>
              <w:tabs>
                <w:tab w:val="left" w:pos="1496"/>
              </w:tabs>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国家</w:t>
            </w:r>
            <w:r>
              <w:rPr>
                <w:rFonts w:hint="eastAsia" w:ascii="宋体" w:hAnsi="宋体" w:eastAsia="宋体" w:cs="宋体"/>
                <w:color w:val="auto"/>
                <w:sz w:val="20"/>
                <w:szCs w:val="20"/>
              </w:rPr>
              <w:t>非物质文化遗产保护资金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noWrap w:val="0"/>
            <w:vAlign w:val="top"/>
          </w:tcPr>
          <w:p>
            <w:pPr>
              <w:pStyle w:val="19"/>
              <w:spacing w:before="36"/>
              <w:ind w:left="256"/>
              <w:rPr>
                <w:rFonts w:hint="eastAsia" w:ascii="宋体" w:hAnsi="宋体" w:eastAsia="宋体" w:cs="宋体"/>
                <w:color w:val="auto"/>
                <w:sz w:val="20"/>
                <w:szCs w:val="20"/>
              </w:rPr>
            </w:pPr>
            <w:r>
              <w:rPr>
                <w:rFonts w:hint="eastAsia" w:ascii="宋体" w:hAnsi="宋体" w:eastAsia="宋体" w:cs="宋体"/>
                <w:color w:val="auto"/>
                <w:spacing w:val="-4"/>
                <w:sz w:val="20"/>
                <w:szCs w:val="20"/>
              </w:rPr>
              <w:t>中央主管部门</w:t>
            </w:r>
          </w:p>
        </w:tc>
        <w:tc>
          <w:tcPr>
            <w:tcW w:w="7768" w:type="dxa"/>
            <w:gridSpan w:val="8"/>
            <w:noWrap w:val="0"/>
            <w:vAlign w:val="top"/>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rPr>
              <w:t>文化和旅游部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noWrap w:val="0"/>
            <w:vAlign w:val="center"/>
          </w:tcPr>
          <w:p>
            <w:pPr>
              <w:pStyle w:val="19"/>
              <w:spacing w:before="37"/>
              <w:ind w:left="25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地方主管部门</w:t>
            </w:r>
          </w:p>
        </w:tc>
        <w:tc>
          <w:tcPr>
            <w:tcW w:w="3854" w:type="dxa"/>
            <w:gridSpan w:val="3"/>
            <w:noWrap w:val="0"/>
            <w:vAlign w:val="center"/>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rPr>
              <w:t>广西壮族自治区文化和旅游厅</w:t>
            </w:r>
          </w:p>
        </w:tc>
        <w:tc>
          <w:tcPr>
            <w:tcW w:w="1059" w:type="dxa"/>
            <w:noWrap w:val="0"/>
            <w:vAlign w:val="top"/>
          </w:tcPr>
          <w:p>
            <w:pPr>
              <w:pStyle w:val="19"/>
              <w:spacing w:before="37"/>
              <w:ind w:left="107"/>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资金使用单位</w:t>
            </w:r>
          </w:p>
        </w:tc>
        <w:tc>
          <w:tcPr>
            <w:tcW w:w="2855" w:type="dxa"/>
            <w:gridSpan w:val="4"/>
            <w:noWrap w:val="0"/>
            <w:vAlign w:val="center"/>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rPr>
              <w:t>广西壮族自治区文化和旅游厅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1716" w:type="dxa"/>
            <w:gridSpan w:val="3"/>
            <w:vMerge w:val="restart"/>
            <w:noWrap w:val="0"/>
            <w:vAlign w:val="top"/>
          </w:tcPr>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spacing w:before="12"/>
              <w:rPr>
                <w:rFonts w:hint="eastAsia" w:ascii="宋体" w:hAnsi="宋体" w:eastAsia="宋体" w:cs="宋体"/>
                <w:color w:val="auto"/>
                <w:sz w:val="20"/>
                <w:szCs w:val="20"/>
              </w:rPr>
            </w:pPr>
          </w:p>
          <w:p>
            <w:pPr>
              <w:pStyle w:val="19"/>
              <w:ind w:left="256"/>
              <w:rPr>
                <w:rFonts w:hint="eastAsia" w:ascii="宋体" w:hAnsi="宋体" w:eastAsia="宋体" w:cs="宋体"/>
                <w:color w:val="auto"/>
                <w:sz w:val="20"/>
                <w:szCs w:val="20"/>
              </w:rPr>
            </w:pPr>
            <w:r>
              <w:rPr>
                <w:rFonts w:hint="eastAsia" w:ascii="宋体" w:hAnsi="宋体" w:eastAsia="宋体" w:cs="宋体"/>
                <w:color w:val="auto"/>
                <w:spacing w:val="-4"/>
                <w:sz w:val="20"/>
                <w:szCs w:val="20"/>
              </w:rPr>
              <w:t>资金投入情况</w:t>
            </w:r>
          </w:p>
          <w:p>
            <w:pPr>
              <w:pStyle w:val="19"/>
              <w:spacing w:before="56"/>
              <w:ind w:left="458"/>
              <w:rPr>
                <w:rFonts w:hint="eastAsia" w:ascii="宋体" w:hAnsi="宋体" w:eastAsia="宋体" w:cs="宋体"/>
                <w:color w:val="auto"/>
                <w:sz w:val="20"/>
                <w:szCs w:val="20"/>
              </w:rPr>
            </w:pPr>
            <w:r>
              <w:rPr>
                <w:rFonts w:hint="eastAsia" w:ascii="宋体" w:hAnsi="宋体" w:eastAsia="宋体" w:cs="宋体"/>
                <w:color w:val="auto"/>
                <w:w w:val="65"/>
                <w:sz w:val="20"/>
                <w:szCs w:val="20"/>
              </w:rPr>
              <w:t>（</w:t>
            </w:r>
            <w:r>
              <w:rPr>
                <w:rFonts w:hint="eastAsia" w:ascii="宋体" w:hAnsi="宋体" w:eastAsia="宋体" w:cs="宋体"/>
                <w:color w:val="auto"/>
                <w:spacing w:val="5"/>
                <w:sz w:val="20"/>
                <w:szCs w:val="20"/>
              </w:rPr>
              <w:t xml:space="preserve"> </w:t>
            </w:r>
            <w:r>
              <w:rPr>
                <w:rFonts w:hint="eastAsia" w:ascii="宋体" w:hAnsi="宋体" w:eastAsia="宋体" w:cs="宋体"/>
                <w:color w:val="auto"/>
                <w:w w:val="90"/>
                <w:sz w:val="20"/>
                <w:szCs w:val="20"/>
              </w:rPr>
              <w:t>万元</w:t>
            </w:r>
            <w:r>
              <w:rPr>
                <w:rFonts w:hint="eastAsia" w:ascii="宋体" w:hAnsi="宋体" w:eastAsia="宋体" w:cs="宋体"/>
                <w:color w:val="auto"/>
                <w:spacing w:val="-10"/>
                <w:w w:val="65"/>
                <w:sz w:val="20"/>
                <w:szCs w:val="20"/>
              </w:rPr>
              <w:t>）</w:t>
            </w:r>
          </w:p>
        </w:tc>
        <w:tc>
          <w:tcPr>
            <w:tcW w:w="1936" w:type="dxa"/>
            <w:gridSpan w:val="2"/>
            <w:noWrap w:val="0"/>
            <w:vAlign w:val="top"/>
          </w:tcPr>
          <w:p>
            <w:pPr>
              <w:pStyle w:val="19"/>
              <w:rPr>
                <w:rFonts w:hint="eastAsia" w:ascii="宋体" w:hAnsi="宋体" w:eastAsia="宋体" w:cs="宋体"/>
                <w:color w:val="auto"/>
                <w:sz w:val="20"/>
                <w:szCs w:val="20"/>
              </w:rPr>
            </w:pPr>
          </w:p>
        </w:tc>
        <w:tc>
          <w:tcPr>
            <w:tcW w:w="1918" w:type="dxa"/>
            <w:noWrap w:val="0"/>
            <w:vAlign w:val="top"/>
          </w:tcPr>
          <w:p>
            <w:pPr>
              <w:pStyle w:val="19"/>
              <w:spacing w:before="1"/>
              <w:rPr>
                <w:rFonts w:hint="eastAsia" w:ascii="宋体" w:hAnsi="宋体" w:eastAsia="宋体" w:cs="宋体"/>
                <w:color w:val="auto"/>
                <w:sz w:val="20"/>
                <w:szCs w:val="20"/>
              </w:rPr>
            </w:pPr>
          </w:p>
          <w:p>
            <w:pPr>
              <w:pStyle w:val="19"/>
              <w:spacing w:before="1"/>
              <w:ind w:left="108"/>
              <w:rPr>
                <w:rFonts w:hint="eastAsia" w:ascii="宋体" w:hAnsi="宋体" w:eastAsia="宋体" w:cs="宋体"/>
                <w:color w:val="auto"/>
                <w:sz w:val="20"/>
                <w:szCs w:val="20"/>
              </w:rPr>
            </w:pPr>
            <w:r>
              <w:rPr>
                <w:rFonts w:hint="eastAsia" w:ascii="宋体" w:hAnsi="宋体" w:eastAsia="宋体" w:cs="宋体"/>
                <w:color w:val="auto"/>
                <w:w w:val="95"/>
                <w:sz w:val="20"/>
                <w:szCs w:val="20"/>
              </w:rPr>
              <w:t>全年预算</w:t>
            </w:r>
            <w:r>
              <w:rPr>
                <w:rFonts w:hint="eastAsia" w:ascii="宋体" w:hAnsi="宋体" w:eastAsia="宋体" w:cs="宋体"/>
                <w:color w:val="auto"/>
                <w:spacing w:val="-55"/>
                <w:w w:val="90"/>
                <w:sz w:val="20"/>
                <w:szCs w:val="20"/>
              </w:rPr>
              <w:t>数</w:t>
            </w:r>
            <w:r>
              <w:rPr>
                <w:rFonts w:hint="eastAsia" w:ascii="宋体" w:hAnsi="宋体" w:eastAsia="宋体" w:cs="宋体"/>
                <w:color w:val="auto"/>
                <w:w w:val="65"/>
                <w:sz w:val="20"/>
                <w:szCs w:val="20"/>
              </w:rPr>
              <w:t>（</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5"/>
                <w:w w:val="90"/>
                <w:sz w:val="20"/>
                <w:szCs w:val="20"/>
              </w:rPr>
              <w:t>A）</w:t>
            </w:r>
          </w:p>
        </w:tc>
        <w:tc>
          <w:tcPr>
            <w:tcW w:w="1818" w:type="dxa"/>
            <w:gridSpan w:val="3"/>
            <w:noWrap w:val="0"/>
            <w:vAlign w:val="top"/>
          </w:tcPr>
          <w:p>
            <w:pPr>
              <w:pStyle w:val="19"/>
              <w:spacing w:before="1"/>
              <w:rPr>
                <w:rFonts w:hint="eastAsia" w:ascii="宋体" w:hAnsi="宋体" w:eastAsia="宋体" w:cs="宋体"/>
                <w:color w:val="auto"/>
                <w:sz w:val="20"/>
                <w:szCs w:val="20"/>
              </w:rPr>
            </w:pPr>
          </w:p>
          <w:p>
            <w:pPr>
              <w:pStyle w:val="19"/>
              <w:spacing w:before="1"/>
              <w:ind w:left="337"/>
              <w:rPr>
                <w:rFonts w:hint="eastAsia" w:ascii="宋体" w:hAnsi="宋体" w:eastAsia="宋体" w:cs="宋体"/>
                <w:color w:val="auto"/>
                <w:sz w:val="20"/>
                <w:szCs w:val="20"/>
              </w:rPr>
            </w:pPr>
            <w:r>
              <w:rPr>
                <w:rFonts w:hint="eastAsia" w:ascii="宋体" w:hAnsi="宋体" w:eastAsia="宋体" w:cs="宋体"/>
                <w:color w:val="auto"/>
                <w:w w:val="95"/>
                <w:sz w:val="20"/>
                <w:szCs w:val="20"/>
              </w:rPr>
              <w:t>全年执行数</w:t>
            </w:r>
            <w:r>
              <w:rPr>
                <w:rFonts w:hint="eastAsia" w:ascii="宋体" w:hAnsi="宋体" w:eastAsia="宋体" w:cs="宋体"/>
                <w:color w:val="auto"/>
                <w:w w:val="65"/>
                <w:sz w:val="20"/>
                <w:szCs w:val="20"/>
              </w:rPr>
              <w:t>（</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5"/>
                <w:w w:val="90"/>
                <w:sz w:val="20"/>
                <w:szCs w:val="20"/>
              </w:rPr>
              <w:t>B）</w:t>
            </w:r>
          </w:p>
        </w:tc>
        <w:tc>
          <w:tcPr>
            <w:tcW w:w="2096" w:type="dxa"/>
            <w:gridSpan w:val="2"/>
            <w:noWrap w:val="0"/>
            <w:vAlign w:val="top"/>
          </w:tcPr>
          <w:p>
            <w:pPr>
              <w:pStyle w:val="19"/>
              <w:spacing w:before="38"/>
              <w:ind w:left="548"/>
              <w:rPr>
                <w:rFonts w:hint="eastAsia" w:ascii="宋体" w:hAnsi="宋体" w:eastAsia="宋体" w:cs="宋体"/>
                <w:color w:val="auto"/>
                <w:sz w:val="20"/>
                <w:szCs w:val="20"/>
              </w:rPr>
            </w:pPr>
            <w:r>
              <w:rPr>
                <w:rFonts w:hint="eastAsia" w:ascii="宋体" w:hAnsi="宋体" w:eastAsia="宋体" w:cs="宋体"/>
                <w:color w:val="auto"/>
                <w:spacing w:val="-4"/>
                <w:sz w:val="20"/>
                <w:szCs w:val="20"/>
              </w:rPr>
              <w:t>预算执行率</w:t>
            </w:r>
          </w:p>
          <w:p>
            <w:pPr>
              <w:pStyle w:val="19"/>
              <w:spacing w:before="55"/>
              <w:ind w:left="106"/>
              <w:rPr>
                <w:rFonts w:hint="eastAsia" w:ascii="宋体" w:hAnsi="宋体" w:eastAsia="宋体" w:cs="宋体"/>
                <w:color w:val="auto"/>
                <w:sz w:val="20"/>
                <w:szCs w:val="20"/>
              </w:rPr>
            </w:pPr>
            <w:r>
              <w:rPr>
                <w:rFonts w:hint="eastAsia" w:ascii="宋体" w:hAnsi="宋体" w:eastAsia="宋体" w:cs="宋体"/>
                <w:color w:val="auto"/>
                <w:w w:val="55"/>
                <w:sz w:val="20"/>
                <w:szCs w:val="20"/>
              </w:rPr>
              <w:t>（</w:t>
            </w:r>
            <w:r>
              <w:rPr>
                <w:rFonts w:hint="eastAsia" w:ascii="宋体" w:hAnsi="宋体" w:eastAsia="宋体" w:cs="宋体"/>
                <w:color w:val="auto"/>
                <w:spacing w:val="-10"/>
                <w:sz w:val="20"/>
                <w:szCs w:val="20"/>
              </w:rPr>
              <w:t xml:space="preserve"> </w:t>
            </w:r>
            <w:r>
              <w:rPr>
                <w:rFonts w:hint="eastAsia" w:ascii="宋体" w:hAnsi="宋体" w:eastAsia="宋体" w:cs="宋体"/>
                <w:color w:val="auto"/>
                <w:spacing w:val="-2"/>
                <w:w w:val="80"/>
                <w:sz w:val="20"/>
                <w:szCs w:val="20"/>
              </w:rPr>
              <w:t>B/A×100%）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36"/>
              <w:ind w:left="268"/>
              <w:rPr>
                <w:rFonts w:hint="eastAsia" w:ascii="宋体" w:hAnsi="宋体" w:eastAsia="宋体" w:cs="宋体"/>
                <w:color w:val="auto"/>
                <w:sz w:val="20"/>
                <w:szCs w:val="20"/>
              </w:rPr>
            </w:pPr>
            <w:r>
              <w:rPr>
                <w:rFonts w:hint="eastAsia" w:ascii="宋体" w:hAnsi="宋体" w:eastAsia="宋体" w:cs="宋体"/>
                <w:color w:val="auto"/>
                <w:w w:val="95"/>
                <w:sz w:val="20"/>
                <w:szCs w:val="20"/>
              </w:rPr>
              <w:t>年度资金总额</w:t>
            </w:r>
            <w:r>
              <w:rPr>
                <w:rFonts w:hint="eastAsia" w:ascii="宋体" w:hAnsi="宋体" w:eastAsia="宋体" w:cs="宋体"/>
                <w:color w:val="auto"/>
                <w:spacing w:val="-10"/>
                <w:w w:val="65"/>
                <w:sz w:val="20"/>
                <w:szCs w:val="20"/>
              </w:rPr>
              <w:t>：</w:t>
            </w:r>
          </w:p>
        </w:tc>
        <w:tc>
          <w:tcPr>
            <w:tcW w:w="1918" w:type="dxa"/>
            <w:noWrap w:val="0"/>
            <w:vAlign w:val="top"/>
          </w:tcPr>
          <w:p>
            <w:pPr>
              <w:pStyle w:val="19"/>
              <w:ind w:firstLine="652" w:firstLineChars="326"/>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1</w:t>
            </w:r>
            <w:r>
              <w:rPr>
                <w:rFonts w:hint="eastAsia" w:ascii="宋体" w:hAnsi="宋体" w:eastAsia="宋体" w:cs="宋体"/>
                <w:color w:val="auto"/>
                <w:sz w:val="20"/>
                <w:szCs w:val="20"/>
                <w:lang w:val="en-US" w:eastAsia="zh-CN"/>
              </w:rPr>
              <w:t>595</w:t>
            </w:r>
          </w:p>
        </w:tc>
        <w:tc>
          <w:tcPr>
            <w:tcW w:w="1818" w:type="dxa"/>
            <w:gridSpan w:val="3"/>
            <w:noWrap w:val="0"/>
            <w:vAlign w:val="top"/>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1043.58</w:t>
            </w:r>
          </w:p>
        </w:tc>
        <w:tc>
          <w:tcPr>
            <w:tcW w:w="2096" w:type="dxa"/>
            <w:gridSpan w:val="2"/>
            <w:noWrap w:val="0"/>
            <w:vAlign w:val="top"/>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65.43</w:t>
            </w:r>
            <w:r>
              <w:rPr>
                <w:rFonts w:hint="eastAsia"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35"/>
              <w:ind w:left="107"/>
              <w:rPr>
                <w:rFonts w:hint="eastAsia" w:ascii="宋体" w:hAnsi="宋体" w:eastAsia="宋体" w:cs="宋体"/>
                <w:color w:val="auto"/>
                <w:sz w:val="20"/>
                <w:szCs w:val="20"/>
              </w:rPr>
            </w:pPr>
            <w:r>
              <w:rPr>
                <w:rFonts w:hint="eastAsia" w:ascii="宋体" w:hAnsi="宋体" w:eastAsia="宋体" w:cs="宋体"/>
                <w:color w:val="auto"/>
                <w:w w:val="90"/>
                <w:sz w:val="20"/>
                <w:szCs w:val="20"/>
              </w:rPr>
              <w:t>其中</w:t>
            </w:r>
            <w:r>
              <w:rPr>
                <w:rFonts w:hint="eastAsia" w:ascii="宋体" w:hAnsi="宋体" w:eastAsia="宋体" w:cs="宋体"/>
                <w:color w:val="auto"/>
                <w:w w:val="65"/>
                <w:sz w:val="20"/>
                <w:szCs w:val="20"/>
              </w:rPr>
              <w:t>：</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2"/>
                <w:w w:val="90"/>
                <w:sz w:val="20"/>
                <w:szCs w:val="20"/>
              </w:rPr>
              <w:t>中央财政资金</w:t>
            </w:r>
          </w:p>
        </w:tc>
        <w:tc>
          <w:tcPr>
            <w:tcW w:w="1918" w:type="dxa"/>
            <w:noWrap w:val="0"/>
            <w:vAlign w:val="top"/>
          </w:tcPr>
          <w:p>
            <w:pPr>
              <w:pStyle w:val="19"/>
              <w:ind w:firstLine="600" w:firstLineChars="3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1595</w:t>
            </w:r>
          </w:p>
        </w:tc>
        <w:tc>
          <w:tcPr>
            <w:tcW w:w="1818" w:type="dxa"/>
            <w:gridSpan w:val="3"/>
            <w:noWrap w:val="0"/>
            <w:vAlign w:val="top"/>
          </w:tcPr>
          <w:p>
            <w:pPr>
              <w:pStyle w:val="19"/>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1043.58</w:t>
            </w:r>
          </w:p>
        </w:tc>
        <w:tc>
          <w:tcPr>
            <w:tcW w:w="2096" w:type="dxa"/>
            <w:gridSpan w:val="2"/>
            <w:noWrap w:val="0"/>
            <w:vAlign w:val="top"/>
          </w:tcPr>
          <w:p>
            <w:pPr>
              <w:pStyle w:val="19"/>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r>
              <w:rPr>
                <w:rFonts w:hint="eastAsia" w:ascii="宋体" w:hAnsi="宋体" w:eastAsia="宋体" w:cs="宋体"/>
                <w:color w:val="auto"/>
                <w:sz w:val="20"/>
                <w:szCs w:val="20"/>
                <w:lang w:val="en-US" w:eastAsia="zh-CN"/>
              </w:rPr>
              <w:t>5.43</w:t>
            </w:r>
            <w:r>
              <w:rPr>
                <w:rFonts w:hint="eastAsia"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36"/>
              <w:ind w:left="808"/>
              <w:rPr>
                <w:rFonts w:hint="eastAsia" w:ascii="宋体" w:hAnsi="宋体" w:eastAsia="宋体" w:cs="宋体"/>
                <w:color w:val="auto"/>
                <w:sz w:val="20"/>
                <w:szCs w:val="20"/>
              </w:rPr>
            </w:pPr>
            <w:r>
              <w:rPr>
                <w:rFonts w:hint="eastAsia" w:ascii="宋体" w:hAnsi="宋体" w:eastAsia="宋体" w:cs="宋体"/>
                <w:color w:val="auto"/>
                <w:spacing w:val="-4"/>
                <w:sz w:val="20"/>
                <w:szCs w:val="20"/>
              </w:rPr>
              <w:t>地方资金</w:t>
            </w:r>
          </w:p>
        </w:tc>
        <w:tc>
          <w:tcPr>
            <w:tcW w:w="1918" w:type="dxa"/>
            <w:noWrap w:val="0"/>
            <w:vAlign w:val="top"/>
          </w:tcPr>
          <w:p>
            <w:pPr>
              <w:pStyle w:val="19"/>
              <w:jc w:val="center"/>
              <w:rPr>
                <w:rFonts w:hint="eastAsia" w:ascii="宋体" w:hAnsi="宋体" w:eastAsia="宋体" w:cs="宋体"/>
                <w:color w:val="auto"/>
                <w:sz w:val="20"/>
                <w:szCs w:val="20"/>
              </w:rPr>
            </w:pPr>
          </w:p>
        </w:tc>
        <w:tc>
          <w:tcPr>
            <w:tcW w:w="1818" w:type="dxa"/>
            <w:gridSpan w:val="3"/>
            <w:noWrap w:val="0"/>
            <w:vAlign w:val="top"/>
          </w:tcPr>
          <w:p>
            <w:pPr>
              <w:pStyle w:val="19"/>
              <w:jc w:val="center"/>
              <w:rPr>
                <w:rFonts w:hint="eastAsia" w:ascii="宋体" w:hAnsi="宋体" w:eastAsia="宋体" w:cs="宋体"/>
                <w:color w:val="auto"/>
                <w:sz w:val="20"/>
                <w:szCs w:val="20"/>
              </w:rPr>
            </w:pPr>
          </w:p>
        </w:tc>
        <w:tc>
          <w:tcPr>
            <w:tcW w:w="2096" w:type="dxa"/>
            <w:gridSpan w:val="2"/>
            <w:noWrap w:val="0"/>
            <w:vAlign w:val="top"/>
          </w:tcPr>
          <w:p>
            <w:pPr>
              <w:pStyle w:val="19"/>
              <w:jc w:val="center"/>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36"/>
              <w:ind w:left="846"/>
              <w:rPr>
                <w:rFonts w:hint="eastAsia" w:ascii="宋体" w:hAnsi="宋体" w:eastAsia="宋体" w:cs="宋体"/>
                <w:color w:val="auto"/>
                <w:sz w:val="20"/>
                <w:szCs w:val="20"/>
              </w:rPr>
            </w:pPr>
            <w:r>
              <w:rPr>
                <w:rFonts w:hint="eastAsia" w:ascii="宋体" w:hAnsi="宋体" w:eastAsia="宋体" w:cs="宋体"/>
                <w:color w:val="auto"/>
                <w:spacing w:val="-4"/>
                <w:sz w:val="20"/>
                <w:szCs w:val="20"/>
              </w:rPr>
              <w:t>其他资金</w:t>
            </w:r>
          </w:p>
        </w:tc>
        <w:tc>
          <w:tcPr>
            <w:tcW w:w="1918" w:type="dxa"/>
            <w:noWrap w:val="0"/>
            <w:vAlign w:val="top"/>
          </w:tcPr>
          <w:p>
            <w:pPr>
              <w:pStyle w:val="19"/>
              <w:jc w:val="center"/>
              <w:rPr>
                <w:rFonts w:hint="eastAsia" w:ascii="宋体" w:hAnsi="宋体" w:eastAsia="宋体" w:cs="宋体"/>
                <w:color w:val="auto"/>
                <w:sz w:val="20"/>
                <w:szCs w:val="20"/>
              </w:rPr>
            </w:pPr>
          </w:p>
        </w:tc>
        <w:tc>
          <w:tcPr>
            <w:tcW w:w="1818" w:type="dxa"/>
            <w:gridSpan w:val="3"/>
            <w:noWrap w:val="0"/>
            <w:vAlign w:val="top"/>
          </w:tcPr>
          <w:p>
            <w:pPr>
              <w:pStyle w:val="19"/>
              <w:jc w:val="center"/>
              <w:rPr>
                <w:rFonts w:hint="eastAsia" w:ascii="宋体" w:hAnsi="宋体" w:eastAsia="宋体" w:cs="宋体"/>
                <w:color w:val="auto"/>
                <w:sz w:val="20"/>
                <w:szCs w:val="20"/>
              </w:rPr>
            </w:pPr>
          </w:p>
        </w:tc>
        <w:tc>
          <w:tcPr>
            <w:tcW w:w="2096" w:type="dxa"/>
            <w:gridSpan w:val="2"/>
            <w:noWrap w:val="0"/>
            <w:vAlign w:val="top"/>
          </w:tcPr>
          <w:p>
            <w:pPr>
              <w:pStyle w:val="19"/>
              <w:jc w:val="center"/>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restart"/>
            <w:noWrap w:val="0"/>
            <w:vAlign w:val="top"/>
          </w:tcPr>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spacing w:before="8"/>
              <w:rPr>
                <w:rFonts w:hint="eastAsia" w:ascii="宋体" w:hAnsi="宋体" w:eastAsia="宋体" w:cs="宋体"/>
                <w:color w:val="auto"/>
                <w:sz w:val="20"/>
                <w:szCs w:val="20"/>
              </w:rPr>
            </w:pPr>
          </w:p>
          <w:p>
            <w:pPr>
              <w:pStyle w:val="19"/>
              <w:ind w:left="107"/>
              <w:rPr>
                <w:rFonts w:hint="eastAsia" w:ascii="宋体" w:hAnsi="宋体" w:eastAsia="宋体" w:cs="宋体"/>
                <w:color w:val="auto"/>
                <w:sz w:val="20"/>
                <w:szCs w:val="20"/>
              </w:rPr>
            </w:pPr>
            <w:r>
              <w:rPr>
                <w:rFonts w:hint="eastAsia" w:ascii="宋体" w:hAnsi="宋体" w:eastAsia="宋体" w:cs="宋体"/>
                <w:color w:val="auto"/>
                <w:spacing w:val="-4"/>
                <w:sz w:val="20"/>
                <w:szCs w:val="20"/>
              </w:rPr>
              <w:t>资金管理情况</w:t>
            </w:r>
          </w:p>
        </w:tc>
        <w:tc>
          <w:tcPr>
            <w:tcW w:w="1936" w:type="dxa"/>
            <w:gridSpan w:val="2"/>
            <w:noWrap w:val="0"/>
            <w:vAlign w:val="top"/>
          </w:tcPr>
          <w:p>
            <w:pPr>
              <w:pStyle w:val="19"/>
              <w:rPr>
                <w:rFonts w:hint="eastAsia" w:ascii="宋体" w:hAnsi="宋体" w:eastAsia="宋体" w:cs="宋体"/>
                <w:color w:val="auto"/>
                <w:sz w:val="20"/>
                <w:szCs w:val="20"/>
              </w:rPr>
            </w:pPr>
          </w:p>
        </w:tc>
        <w:tc>
          <w:tcPr>
            <w:tcW w:w="3736" w:type="dxa"/>
            <w:gridSpan w:val="4"/>
            <w:noWrap w:val="0"/>
            <w:vAlign w:val="top"/>
          </w:tcPr>
          <w:p>
            <w:pPr>
              <w:pStyle w:val="19"/>
              <w:spacing w:before="35"/>
              <w:ind w:left="1454" w:right="1448"/>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情况说明</w:t>
            </w:r>
          </w:p>
        </w:tc>
        <w:tc>
          <w:tcPr>
            <w:tcW w:w="2096" w:type="dxa"/>
            <w:gridSpan w:val="2"/>
            <w:noWrap w:val="0"/>
            <w:vAlign w:val="top"/>
          </w:tcPr>
          <w:p>
            <w:pPr>
              <w:pStyle w:val="19"/>
              <w:spacing w:before="35"/>
              <w:ind w:left="106"/>
              <w:rPr>
                <w:rFonts w:hint="eastAsia" w:ascii="宋体" w:hAnsi="宋体" w:eastAsia="宋体" w:cs="宋体"/>
                <w:color w:val="auto"/>
                <w:sz w:val="20"/>
                <w:szCs w:val="20"/>
              </w:rPr>
            </w:pPr>
            <w:r>
              <w:rPr>
                <w:rFonts w:hint="eastAsia" w:ascii="宋体" w:hAnsi="宋体" w:eastAsia="宋体" w:cs="宋体"/>
                <w:color w:val="auto"/>
                <w:spacing w:val="-3"/>
                <w:sz w:val="20"/>
                <w:szCs w:val="20"/>
              </w:rPr>
              <w:t>存在问题和改进措施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8"/>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分配科学性</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严格按照转移支付管理制度以及资金管理办法规定的范围和标准分配资金</w:t>
            </w:r>
          </w:p>
        </w:tc>
        <w:tc>
          <w:tcPr>
            <w:tcW w:w="2096" w:type="dxa"/>
            <w:gridSpan w:val="2"/>
            <w:noWrap w:val="0"/>
            <w:vAlign w:val="top"/>
          </w:tcPr>
          <w:p>
            <w:pPr>
              <w:pStyle w:val="1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9"/>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下达及时性</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严格按照预算法及其实施条例、转移支付管理制度规定以及资金管理办法规定的时限要求分解下达</w:t>
            </w: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8"/>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拨付合规性</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严格按照国库集中支付制度有关规定支付资金，未出现违规将资金从国库转入财政专户或支付到预算单位实有资金账户等问题</w:t>
            </w: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8"/>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使用规范性</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严格按照预算下达的科目和项目执行，未出现截留、挤占、挪用或擅自调整等问题</w:t>
            </w: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9"/>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执行准确性</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按照上级下达和本级预算安排的金额执行，不存在执行数偏离预算数较多的问题</w:t>
            </w: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8"/>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预算绩效管理情况</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在细化下达预算时同步下达绩效目标，将有关资金纳入本级预算或对下转移支付绩效管理，开展绩效监控和绩效评价</w:t>
            </w: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716" w:type="dxa"/>
            <w:gridSpan w:val="3"/>
            <w:vMerge w:val="continue"/>
            <w:tcBorders>
              <w:top w:val="nil"/>
            </w:tcBorders>
            <w:noWrap w:val="0"/>
            <w:vAlign w:val="top"/>
          </w:tcPr>
          <w:p>
            <w:pPr>
              <w:rPr>
                <w:rFonts w:hint="eastAsia" w:ascii="宋体" w:hAnsi="宋体" w:eastAsia="宋体" w:cs="宋体"/>
                <w:color w:val="auto"/>
                <w:sz w:val="20"/>
                <w:szCs w:val="20"/>
              </w:rPr>
            </w:pPr>
          </w:p>
        </w:tc>
        <w:tc>
          <w:tcPr>
            <w:tcW w:w="1936" w:type="dxa"/>
            <w:gridSpan w:val="2"/>
            <w:noWrap w:val="0"/>
            <w:vAlign w:val="top"/>
          </w:tcPr>
          <w:p>
            <w:pPr>
              <w:pStyle w:val="19"/>
              <w:spacing w:before="48"/>
              <w:ind w:left="107"/>
              <w:rPr>
                <w:rFonts w:hint="eastAsia" w:ascii="宋体" w:hAnsi="宋体" w:eastAsia="宋体" w:cs="宋体"/>
                <w:color w:val="auto"/>
                <w:sz w:val="20"/>
                <w:szCs w:val="20"/>
              </w:rPr>
            </w:pPr>
            <w:r>
              <w:rPr>
                <w:rFonts w:hint="eastAsia" w:ascii="宋体" w:hAnsi="宋体" w:eastAsia="宋体" w:cs="宋体"/>
                <w:color w:val="auto"/>
                <w:spacing w:val="-2"/>
                <w:sz w:val="20"/>
                <w:szCs w:val="20"/>
              </w:rPr>
              <w:t>支出责任履行情况</w:t>
            </w:r>
          </w:p>
        </w:tc>
        <w:tc>
          <w:tcPr>
            <w:tcW w:w="3736" w:type="dxa"/>
            <w:gridSpan w:val="4"/>
            <w:noWrap w:val="0"/>
            <w:vAlign w:val="top"/>
          </w:tcPr>
          <w:p>
            <w:pPr>
              <w:pStyle w:val="19"/>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国家非遗保护资金全部为中央支出，无地方支出责任</w:t>
            </w:r>
          </w:p>
          <w:p>
            <w:pPr>
              <w:pStyle w:val="19"/>
              <w:jc w:val="left"/>
              <w:rPr>
                <w:rFonts w:hint="eastAsia" w:ascii="宋体" w:hAnsi="宋体" w:eastAsia="宋体" w:cs="宋体"/>
                <w:color w:val="auto"/>
                <w:sz w:val="20"/>
                <w:szCs w:val="20"/>
                <w:lang w:eastAsia="zh-CN"/>
              </w:rPr>
            </w:pPr>
          </w:p>
        </w:tc>
        <w:tc>
          <w:tcPr>
            <w:tcW w:w="2096" w:type="dxa"/>
            <w:gridSpan w:val="2"/>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724" w:type="dxa"/>
            <w:vMerge w:val="restart"/>
            <w:noWrap w:val="0"/>
            <w:vAlign w:val="top"/>
          </w:tcPr>
          <w:p>
            <w:pPr>
              <w:pStyle w:val="19"/>
              <w:spacing w:before="3" w:line="225" w:lineRule="auto"/>
              <w:ind w:left="107" w:right="206"/>
              <w:rPr>
                <w:rFonts w:hint="eastAsia" w:ascii="宋体" w:hAnsi="宋体" w:eastAsia="宋体" w:cs="宋体"/>
                <w:color w:val="auto"/>
                <w:sz w:val="20"/>
                <w:szCs w:val="20"/>
              </w:rPr>
            </w:pPr>
            <w:r>
              <w:rPr>
                <w:rFonts w:hint="eastAsia" w:ascii="宋体" w:hAnsi="宋体" w:eastAsia="宋体" w:cs="宋体"/>
                <w:color w:val="auto"/>
                <w:spacing w:val="-6"/>
                <w:sz w:val="20"/>
                <w:szCs w:val="20"/>
              </w:rPr>
              <w:t>总体目标完成</w:t>
            </w:r>
          </w:p>
          <w:p>
            <w:pPr>
              <w:pStyle w:val="19"/>
              <w:spacing w:line="214" w:lineRule="exact"/>
              <w:ind w:left="107"/>
              <w:rPr>
                <w:rFonts w:hint="eastAsia" w:ascii="宋体" w:hAnsi="宋体" w:eastAsia="宋体" w:cs="宋体"/>
                <w:color w:val="auto"/>
                <w:sz w:val="20"/>
                <w:szCs w:val="20"/>
              </w:rPr>
            </w:pPr>
            <w:r>
              <w:rPr>
                <w:rFonts w:hint="eastAsia" w:ascii="宋体" w:hAnsi="宋体" w:eastAsia="宋体" w:cs="宋体"/>
                <w:color w:val="auto"/>
                <w:spacing w:val="-6"/>
                <w:sz w:val="20"/>
                <w:szCs w:val="20"/>
              </w:rPr>
              <w:t>情况</w:t>
            </w:r>
          </w:p>
        </w:tc>
        <w:tc>
          <w:tcPr>
            <w:tcW w:w="4846" w:type="dxa"/>
            <w:gridSpan w:val="5"/>
            <w:noWrap w:val="0"/>
            <w:vAlign w:val="top"/>
          </w:tcPr>
          <w:p>
            <w:pPr>
              <w:pStyle w:val="19"/>
              <w:spacing w:before="27" w:line="189" w:lineRule="exact"/>
              <w:ind w:left="1597" w:right="205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总体目标</w:t>
            </w:r>
          </w:p>
        </w:tc>
        <w:tc>
          <w:tcPr>
            <w:tcW w:w="3914" w:type="dxa"/>
            <w:gridSpan w:val="5"/>
            <w:noWrap w:val="0"/>
            <w:vAlign w:val="top"/>
          </w:tcPr>
          <w:p>
            <w:pPr>
              <w:pStyle w:val="19"/>
              <w:spacing w:before="27" w:line="189" w:lineRule="exact"/>
              <w:ind w:left="1335"/>
              <w:rPr>
                <w:rFonts w:hint="eastAsia" w:ascii="宋体" w:hAnsi="宋体" w:eastAsia="宋体" w:cs="宋体"/>
                <w:color w:val="auto"/>
                <w:sz w:val="20"/>
                <w:szCs w:val="20"/>
              </w:rPr>
            </w:pPr>
            <w:r>
              <w:rPr>
                <w:rFonts w:hint="eastAsia" w:ascii="宋体" w:hAnsi="宋体" w:eastAsia="宋体" w:cs="宋体"/>
                <w:color w:val="auto"/>
                <w:spacing w:val="-4"/>
                <w:sz w:val="20"/>
                <w:szCs w:val="20"/>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4846" w:type="dxa"/>
            <w:gridSpan w:val="5"/>
            <w:noWrap w:val="0"/>
            <w:vAlign w:val="top"/>
          </w:tcPr>
          <w:p>
            <w:pPr>
              <w:pStyle w:val="19"/>
              <w:rPr>
                <w:rFonts w:hint="eastAsia" w:ascii="宋体" w:hAnsi="宋体" w:eastAsia="宋体" w:cs="宋体"/>
                <w:color w:val="auto"/>
                <w:sz w:val="20"/>
                <w:szCs w:val="20"/>
              </w:rPr>
            </w:pPr>
          </w:p>
          <w:p>
            <w:pPr>
              <w:tabs>
                <w:tab w:val="left" w:pos="3103"/>
              </w:tabs>
              <w:jc w:val="left"/>
              <w:rPr>
                <w:rFonts w:hint="eastAsia" w:ascii="宋体" w:hAnsi="宋体" w:eastAsia="宋体" w:cs="宋体"/>
                <w:color w:val="auto"/>
                <w:sz w:val="20"/>
                <w:szCs w:val="20"/>
              </w:rPr>
            </w:pPr>
            <w:r>
              <w:rPr>
                <w:rFonts w:hint="eastAsia" w:ascii="宋体" w:hAnsi="宋体" w:eastAsia="宋体" w:cs="宋体"/>
                <w:color w:val="auto"/>
                <w:spacing w:val="-2"/>
                <w:sz w:val="20"/>
                <w:szCs w:val="20"/>
              </w:rPr>
              <w:t>对入选联合国教科文组织非遗名录名册项目、国家级非遗代表性项目、代表性传承人记录工作、研培计划、代表性传承人传承活动等年度任务进行补助，推动非遗保护传承工作。</w:t>
            </w:r>
          </w:p>
        </w:tc>
        <w:tc>
          <w:tcPr>
            <w:tcW w:w="3914" w:type="dxa"/>
            <w:gridSpan w:val="5"/>
            <w:noWrap w:val="0"/>
            <w:vAlign w:val="top"/>
          </w:tcPr>
          <w:p>
            <w:pPr>
              <w:pStyle w:val="19"/>
              <w:rPr>
                <w:rFonts w:hint="eastAsia" w:ascii="宋体" w:hAnsi="宋体" w:eastAsia="宋体" w:cs="宋体"/>
                <w:color w:val="auto"/>
                <w:sz w:val="20"/>
                <w:szCs w:val="20"/>
              </w:rPr>
            </w:pPr>
          </w:p>
          <w:p>
            <w:pPr>
              <w:tabs>
                <w:tab w:val="left" w:pos="1406"/>
              </w:tabs>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2"/>
                <w:sz w:val="20"/>
                <w:szCs w:val="20"/>
                <w:lang w:eastAsia="zh-CN"/>
              </w:rPr>
              <w:t>年度</w:t>
            </w:r>
            <w:r>
              <w:rPr>
                <w:rFonts w:hint="eastAsia" w:ascii="宋体" w:hAnsi="宋体" w:eastAsia="宋体" w:cs="宋体"/>
                <w:color w:val="auto"/>
                <w:spacing w:val="-2"/>
                <w:sz w:val="20"/>
                <w:szCs w:val="20"/>
              </w:rPr>
              <w:t>入选联合国教科文组织非遗名录名册项目、国家级非遗代表性项目、代表性传承人记录工作、研培计划、代表性传承人传承活动</w:t>
            </w:r>
            <w:r>
              <w:rPr>
                <w:rFonts w:hint="eastAsia" w:ascii="宋体" w:hAnsi="宋体" w:eastAsia="宋体" w:cs="宋体"/>
                <w:color w:val="auto"/>
                <w:spacing w:val="-2"/>
                <w:sz w:val="20"/>
                <w:szCs w:val="20"/>
                <w:lang w:eastAsia="zh-CN"/>
              </w:rPr>
              <w:t>补助资金均做到及时拨付，全年</w:t>
            </w:r>
            <w:r>
              <w:rPr>
                <w:rFonts w:hint="eastAsia" w:ascii="宋体" w:hAnsi="宋体" w:cs="宋体"/>
                <w:color w:val="auto"/>
                <w:spacing w:val="-2"/>
                <w:sz w:val="20"/>
                <w:szCs w:val="20"/>
                <w:lang w:eastAsia="zh-CN"/>
              </w:rPr>
              <w:t>投入</w:t>
            </w:r>
            <w:r>
              <w:rPr>
                <w:rFonts w:hint="eastAsia" w:ascii="宋体" w:hAnsi="宋体" w:eastAsia="宋体" w:cs="宋体"/>
                <w:color w:val="auto"/>
                <w:spacing w:val="-2"/>
                <w:sz w:val="20"/>
                <w:szCs w:val="20"/>
                <w:lang w:eastAsia="zh-CN"/>
              </w:rPr>
              <w:t>资金</w:t>
            </w:r>
            <w:r>
              <w:rPr>
                <w:rFonts w:hint="eastAsia" w:ascii="宋体" w:hAnsi="宋体" w:eastAsia="宋体" w:cs="宋体"/>
                <w:color w:val="auto"/>
                <w:spacing w:val="-2"/>
                <w:sz w:val="20"/>
                <w:szCs w:val="20"/>
                <w:lang w:val="en-US" w:eastAsia="zh-CN"/>
              </w:rPr>
              <w:t>1595</w:t>
            </w:r>
            <w:r>
              <w:rPr>
                <w:rFonts w:hint="eastAsia" w:ascii="宋体" w:hAnsi="宋体" w:eastAsia="宋体" w:cs="宋体"/>
                <w:color w:val="auto"/>
                <w:spacing w:val="-2"/>
                <w:sz w:val="20"/>
                <w:szCs w:val="20"/>
                <w:lang w:eastAsia="zh-CN"/>
              </w:rPr>
              <w:t>万元，资金实际使用</w:t>
            </w:r>
            <w:r>
              <w:rPr>
                <w:rFonts w:hint="eastAsia" w:ascii="宋体" w:hAnsi="宋体" w:eastAsia="宋体" w:cs="宋体"/>
                <w:color w:val="auto"/>
                <w:spacing w:val="-2"/>
                <w:sz w:val="20"/>
                <w:szCs w:val="20"/>
                <w:lang w:val="en-US" w:eastAsia="zh-CN"/>
              </w:rPr>
              <w:t>1043.58</w:t>
            </w:r>
            <w:r>
              <w:rPr>
                <w:rFonts w:hint="eastAsia" w:ascii="宋体" w:hAnsi="宋体" w:eastAsia="宋体" w:cs="宋体"/>
                <w:color w:val="auto"/>
                <w:spacing w:val="-2"/>
                <w:sz w:val="20"/>
                <w:szCs w:val="20"/>
                <w:lang w:eastAsia="zh-CN"/>
              </w:rPr>
              <w:t>万元，资金使用率为6</w:t>
            </w:r>
            <w:r>
              <w:rPr>
                <w:rFonts w:hint="eastAsia" w:ascii="宋体" w:hAnsi="宋体" w:eastAsia="宋体" w:cs="宋体"/>
                <w:color w:val="auto"/>
                <w:spacing w:val="-2"/>
                <w:sz w:val="20"/>
                <w:szCs w:val="20"/>
                <w:lang w:val="en-US" w:eastAsia="zh-CN"/>
              </w:rPr>
              <w:t>5.43</w:t>
            </w:r>
            <w:r>
              <w:rPr>
                <w:rFonts w:hint="eastAsia" w:ascii="宋体" w:hAnsi="宋体" w:eastAsia="宋体" w:cs="宋体"/>
                <w:color w:val="auto"/>
                <w:spacing w:val="-2"/>
                <w:sz w:val="20"/>
                <w:szCs w:val="20"/>
                <w:lang w:eastAsia="zh-CN"/>
              </w:rPr>
              <w:t>%。</w:t>
            </w:r>
            <w:r>
              <w:rPr>
                <w:rFonts w:hint="eastAsia" w:ascii="宋体" w:hAnsi="宋体" w:cs="宋体"/>
                <w:color w:val="auto"/>
                <w:spacing w:val="-2"/>
                <w:sz w:val="20"/>
                <w:szCs w:val="20"/>
                <w:lang w:eastAsia="zh-CN"/>
              </w:rPr>
              <w:t>完成补助各类非遗代表性项目</w:t>
            </w:r>
            <w:r>
              <w:rPr>
                <w:rFonts w:hint="eastAsia" w:ascii="宋体" w:hAnsi="宋体" w:cs="宋体"/>
                <w:color w:val="auto"/>
                <w:spacing w:val="-2"/>
                <w:sz w:val="20"/>
                <w:szCs w:val="20"/>
                <w:lang w:val="en-US" w:eastAsia="zh-CN"/>
              </w:rPr>
              <w:t>55个，补助2位国家级非遗传承人开展抢救性记录，</w:t>
            </w:r>
            <w:r>
              <w:rPr>
                <w:rFonts w:hint="eastAsia" w:ascii="宋体" w:hAnsi="宋体" w:cs="宋体"/>
                <w:color w:val="auto"/>
                <w:spacing w:val="-2"/>
                <w:sz w:val="20"/>
                <w:szCs w:val="20"/>
              </w:rPr>
              <w:t>基本完成全区国家级非遗代表性项目重点项目传承保护工作、国家级非遗代表性传承人记录工作、国家级非遗代表性传承人传习活动和研培计划等年度任务</w:t>
            </w:r>
            <w:r>
              <w:rPr>
                <w:rFonts w:hint="eastAsia" w:ascii="宋体" w:hAnsi="宋体" w:cs="宋体"/>
                <w:color w:val="auto"/>
                <w:spacing w:val="-2"/>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724" w:type="dxa"/>
            <w:vMerge w:val="restart"/>
            <w:noWrap w:val="0"/>
            <w:vAlign w:val="top"/>
          </w:tcPr>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rPr>
                <w:rFonts w:hint="eastAsia" w:ascii="宋体" w:hAnsi="宋体" w:eastAsia="宋体" w:cs="宋体"/>
                <w:color w:val="auto"/>
                <w:sz w:val="20"/>
                <w:szCs w:val="20"/>
              </w:rPr>
            </w:pPr>
          </w:p>
          <w:p>
            <w:pPr>
              <w:pStyle w:val="19"/>
              <w:spacing w:before="6"/>
              <w:rPr>
                <w:rFonts w:hint="eastAsia" w:ascii="宋体" w:hAnsi="宋体" w:eastAsia="宋体" w:cs="宋体"/>
                <w:color w:val="auto"/>
                <w:sz w:val="20"/>
                <w:szCs w:val="20"/>
              </w:rPr>
            </w:pPr>
          </w:p>
          <w:p>
            <w:pPr>
              <w:pStyle w:val="19"/>
              <w:ind w:left="271"/>
              <w:rPr>
                <w:rFonts w:hint="eastAsia" w:ascii="宋体" w:hAnsi="宋体" w:eastAsia="宋体" w:cs="宋体"/>
                <w:color w:val="auto"/>
                <w:sz w:val="20"/>
                <w:szCs w:val="20"/>
              </w:rPr>
            </w:pPr>
            <w:r>
              <w:rPr>
                <w:rFonts w:hint="eastAsia" w:ascii="宋体" w:hAnsi="宋体" w:eastAsia="宋体" w:cs="宋体"/>
                <w:color w:val="auto"/>
                <w:sz w:val="20"/>
                <w:szCs w:val="20"/>
              </w:rPr>
              <w:drawing>
                <wp:inline distT="0" distB="0" distL="114300" distR="114300">
                  <wp:extent cx="116840" cy="499745"/>
                  <wp:effectExtent l="0" t="0" r="16510" b="14605"/>
                  <wp:docPr id="1" name="图片 29"/>
                  <wp:cNvGraphicFramePr/>
                  <a:graphic xmlns:a="http://schemas.openxmlformats.org/drawingml/2006/main">
                    <a:graphicData uri="http://schemas.openxmlformats.org/drawingml/2006/picture">
                      <pic:pic xmlns:pic="http://schemas.openxmlformats.org/drawingml/2006/picture">
                        <pic:nvPicPr>
                          <pic:cNvPr id="1" name="图片 29"/>
                          <pic:cNvPicPr/>
                        </pic:nvPicPr>
                        <pic:blipFill>
                          <a:blip r:embed="rId7"/>
                          <a:stretch>
                            <a:fillRect/>
                          </a:stretch>
                        </pic:blipFill>
                        <pic:spPr>
                          <a:xfrm>
                            <a:off x="0" y="0"/>
                            <a:ext cx="116840" cy="499745"/>
                          </a:xfrm>
                          <a:prstGeom prst="rect">
                            <a:avLst/>
                          </a:prstGeom>
                          <a:noFill/>
                          <a:ln>
                            <a:noFill/>
                          </a:ln>
                        </pic:spPr>
                      </pic:pic>
                    </a:graphicData>
                  </a:graphic>
                </wp:inline>
              </w:drawing>
            </w:r>
          </w:p>
        </w:tc>
        <w:tc>
          <w:tcPr>
            <w:tcW w:w="709" w:type="dxa"/>
            <w:noWrap w:val="0"/>
            <w:vAlign w:val="top"/>
          </w:tcPr>
          <w:p>
            <w:pPr>
              <w:pStyle w:val="19"/>
              <w:spacing w:before="1" w:line="312" w:lineRule="exact"/>
              <w:ind w:left="154" w:right="144"/>
              <w:rPr>
                <w:rFonts w:hint="eastAsia" w:ascii="宋体" w:hAnsi="宋体" w:eastAsia="宋体" w:cs="宋体"/>
                <w:color w:val="auto"/>
                <w:sz w:val="20"/>
                <w:szCs w:val="20"/>
              </w:rPr>
            </w:pPr>
            <w:r>
              <w:rPr>
                <w:rFonts w:hint="eastAsia" w:ascii="宋体" w:hAnsi="宋体" w:eastAsia="宋体" w:cs="宋体"/>
                <w:color w:val="auto"/>
                <w:spacing w:val="-6"/>
                <w:sz w:val="20"/>
                <w:szCs w:val="20"/>
              </w:rPr>
              <w:t>一级指标</w:t>
            </w:r>
          </w:p>
        </w:tc>
        <w:tc>
          <w:tcPr>
            <w:tcW w:w="1242" w:type="dxa"/>
            <w:gridSpan w:val="2"/>
            <w:noWrap w:val="0"/>
            <w:vAlign w:val="top"/>
          </w:tcPr>
          <w:p>
            <w:pPr>
              <w:pStyle w:val="19"/>
              <w:spacing w:before="1" w:line="312" w:lineRule="exact"/>
              <w:ind w:left="381" w:right="370"/>
              <w:rPr>
                <w:rFonts w:hint="eastAsia" w:ascii="宋体" w:hAnsi="宋体" w:eastAsia="宋体" w:cs="宋体"/>
                <w:color w:val="auto"/>
                <w:sz w:val="20"/>
                <w:szCs w:val="20"/>
              </w:rPr>
            </w:pPr>
            <w:r>
              <w:rPr>
                <w:rFonts w:hint="eastAsia" w:ascii="宋体" w:hAnsi="宋体" w:eastAsia="宋体" w:cs="宋体"/>
                <w:color w:val="auto"/>
                <w:spacing w:val="-6"/>
                <w:sz w:val="20"/>
                <w:szCs w:val="20"/>
              </w:rPr>
              <w:t>二级指标</w:t>
            </w:r>
          </w:p>
        </w:tc>
        <w:tc>
          <w:tcPr>
            <w:tcW w:w="2895" w:type="dxa"/>
            <w:gridSpan w:val="2"/>
            <w:noWrap w:val="0"/>
            <w:vAlign w:val="top"/>
          </w:tcPr>
          <w:p>
            <w:pPr>
              <w:pStyle w:val="19"/>
              <w:spacing w:before="1"/>
              <w:rPr>
                <w:rFonts w:hint="eastAsia" w:ascii="宋体" w:hAnsi="宋体" w:eastAsia="宋体" w:cs="宋体"/>
                <w:color w:val="auto"/>
                <w:sz w:val="20"/>
                <w:szCs w:val="20"/>
              </w:rPr>
            </w:pPr>
          </w:p>
          <w:p>
            <w:pPr>
              <w:pStyle w:val="19"/>
              <w:ind w:left="896" w:right="88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三级指标</w:t>
            </w:r>
          </w:p>
        </w:tc>
        <w:tc>
          <w:tcPr>
            <w:tcW w:w="1245" w:type="dxa"/>
            <w:gridSpan w:val="2"/>
            <w:noWrap w:val="0"/>
            <w:vAlign w:val="top"/>
          </w:tcPr>
          <w:p>
            <w:pPr>
              <w:pStyle w:val="19"/>
              <w:spacing w:before="1"/>
              <w:rPr>
                <w:rFonts w:hint="eastAsia" w:ascii="宋体" w:hAnsi="宋体" w:eastAsia="宋体" w:cs="宋体"/>
                <w:color w:val="auto"/>
                <w:sz w:val="20"/>
                <w:szCs w:val="20"/>
              </w:rPr>
            </w:pPr>
          </w:p>
          <w:p>
            <w:pPr>
              <w:pStyle w:val="19"/>
              <w:ind w:left="337"/>
              <w:rPr>
                <w:rFonts w:hint="eastAsia" w:ascii="宋体" w:hAnsi="宋体" w:eastAsia="宋体" w:cs="宋体"/>
                <w:color w:val="auto"/>
                <w:sz w:val="20"/>
                <w:szCs w:val="20"/>
              </w:rPr>
            </w:pPr>
            <w:r>
              <w:rPr>
                <w:rFonts w:hint="eastAsia" w:ascii="宋体" w:hAnsi="宋体" w:eastAsia="宋体" w:cs="宋体"/>
                <w:color w:val="auto"/>
                <w:spacing w:val="-5"/>
                <w:sz w:val="20"/>
                <w:szCs w:val="20"/>
              </w:rPr>
              <w:t>指标值</w:t>
            </w:r>
          </w:p>
        </w:tc>
        <w:tc>
          <w:tcPr>
            <w:tcW w:w="1125" w:type="dxa"/>
            <w:gridSpan w:val="2"/>
            <w:noWrap w:val="0"/>
            <w:vAlign w:val="top"/>
          </w:tcPr>
          <w:p>
            <w:pPr>
              <w:pStyle w:val="19"/>
              <w:spacing w:before="1"/>
              <w:rPr>
                <w:rFonts w:hint="eastAsia" w:ascii="宋体" w:hAnsi="宋体" w:eastAsia="宋体" w:cs="宋体"/>
                <w:color w:val="auto"/>
                <w:sz w:val="20"/>
                <w:szCs w:val="20"/>
              </w:rPr>
            </w:pPr>
          </w:p>
          <w:p>
            <w:pPr>
              <w:pStyle w:val="19"/>
              <w:ind w:left="136"/>
              <w:rPr>
                <w:rFonts w:hint="eastAsia" w:ascii="宋体" w:hAnsi="宋体" w:eastAsia="宋体" w:cs="宋体"/>
                <w:color w:val="auto"/>
                <w:sz w:val="20"/>
                <w:szCs w:val="20"/>
              </w:rPr>
            </w:pPr>
            <w:r>
              <w:rPr>
                <w:rFonts w:hint="eastAsia" w:ascii="宋体" w:hAnsi="宋体" w:eastAsia="宋体" w:cs="宋体"/>
                <w:color w:val="auto"/>
                <w:spacing w:val="-4"/>
                <w:sz w:val="20"/>
                <w:szCs w:val="20"/>
              </w:rPr>
              <w:t>全年完成值</w:t>
            </w:r>
          </w:p>
        </w:tc>
        <w:tc>
          <w:tcPr>
            <w:tcW w:w="1544" w:type="dxa"/>
            <w:noWrap w:val="0"/>
            <w:vAlign w:val="top"/>
          </w:tcPr>
          <w:p>
            <w:pPr>
              <w:pStyle w:val="19"/>
              <w:spacing w:before="1" w:line="312" w:lineRule="exact"/>
              <w:ind w:left="559" w:right="151" w:hanging="401"/>
              <w:rPr>
                <w:rFonts w:hint="eastAsia" w:ascii="宋体" w:hAnsi="宋体" w:eastAsia="宋体" w:cs="宋体"/>
                <w:color w:val="auto"/>
                <w:sz w:val="20"/>
                <w:szCs w:val="20"/>
              </w:rPr>
            </w:pPr>
            <w:r>
              <w:rPr>
                <w:rFonts w:hint="eastAsia" w:ascii="宋体" w:hAnsi="宋体" w:eastAsia="宋体" w:cs="宋体"/>
                <w:color w:val="auto"/>
                <w:spacing w:val="-2"/>
                <w:sz w:val="20"/>
                <w:szCs w:val="20"/>
              </w:rPr>
              <w:t>未完成原因和改</w:t>
            </w:r>
            <w:r>
              <w:rPr>
                <w:rFonts w:hint="eastAsia" w:ascii="宋体" w:hAnsi="宋体" w:eastAsia="宋体" w:cs="宋体"/>
                <w:color w:val="auto"/>
                <w:spacing w:val="-4"/>
                <w:sz w:val="20"/>
                <w:szCs w:val="20"/>
              </w:rPr>
              <w:t>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restart"/>
            <w:noWrap w:val="0"/>
            <w:vAlign w:val="top"/>
          </w:tcPr>
          <w:p>
            <w:pPr>
              <w:pStyle w:val="19"/>
              <w:rPr>
                <w:rFonts w:hint="eastAsia" w:ascii="宋体" w:hAnsi="宋体" w:eastAsia="宋体" w:cs="宋体"/>
                <w:color w:val="auto"/>
                <w:sz w:val="20"/>
                <w:szCs w:val="20"/>
              </w:rPr>
            </w:pPr>
          </w:p>
          <w:p>
            <w:pPr>
              <w:pStyle w:val="19"/>
              <w:spacing w:before="133" w:line="292" w:lineRule="auto"/>
              <w:ind w:right="144"/>
              <w:rPr>
                <w:rFonts w:hint="eastAsia" w:ascii="宋体" w:hAnsi="宋体" w:eastAsia="宋体" w:cs="宋体"/>
                <w:color w:val="auto"/>
                <w:sz w:val="20"/>
                <w:szCs w:val="20"/>
              </w:rPr>
            </w:pPr>
            <w:r>
              <w:rPr>
                <w:rFonts w:hint="eastAsia" w:ascii="宋体" w:hAnsi="宋体" w:eastAsia="宋体" w:cs="宋体"/>
                <w:color w:val="auto"/>
                <w:spacing w:val="-6"/>
                <w:sz w:val="20"/>
                <w:szCs w:val="20"/>
              </w:rPr>
              <w:t>产出指标</w:t>
            </w:r>
          </w:p>
        </w:tc>
        <w:tc>
          <w:tcPr>
            <w:tcW w:w="1242" w:type="dxa"/>
            <w:gridSpan w:val="2"/>
            <w:vMerge w:val="restart"/>
            <w:noWrap w:val="0"/>
            <w:vAlign w:val="top"/>
          </w:tcPr>
          <w:p>
            <w:pPr>
              <w:pStyle w:val="19"/>
              <w:spacing w:before="4"/>
              <w:rPr>
                <w:rFonts w:hint="eastAsia" w:ascii="宋体" w:hAnsi="宋体" w:eastAsia="宋体" w:cs="宋体"/>
                <w:color w:val="auto"/>
                <w:sz w:val="20"/>
                <w:szCs w:val="20"/>
              </w:rPr>
            </w:pPr>
          </w:p>
          <w:p>
            <w:pPr>
              <w:pStyle w:val="19"/>
              <w:ind w:left="179"/>
              <w:rPr>
                <w:rFonts w:hint="eastAsia" w:ascii="宋体" w:hAnsi="宋体" w:eastAsia="宋体" w:cs="宋体"/>
                <w:color w:val="auto"/>
                <w:sz w:val="20"/>
                <w:szCs w:val="20"/>
              </w:rPr>
            </w:pPr>
            <w:r>
              <w:rPr>
                <w:rFonts w:hint="eastAsia" w:ascii="宋体" w:hAnsi="宋体" w:eastAsia="宋体" w:cs="宋体"/>
                <w:color w:val="auto"/>
                <w:spacing w:val="-4"/>
                <w:sz w:val="20"/>
                <w:szCs w:val="20"/>
              </w:rPr>
              <w:t>数量指标</w:t>
            </w: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补助传统工艺振兴类国家级非遗代表性项目个数</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≥14个</w:t>
            </w:r>
          </w:p>
        </w:tc>
        <w:tc>
          <w:tcPr>
            <w:tcW w:w="1125" w:type="dxa"/>
            <w:gridSpan w:val="2"/>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14</w:t>
            </w:r>
            <w:r>
              <w:rPr>
                <w:rFonts w:hint="eastAsia" w:ascii="宋体" w:hAnsi="宋体" w:eastAsia="宋体" w:cs="宋体"/>
                <w:color w:val="auto"/>
                <w:kern w:val="0"/>
                <w:sz w:val="20"/>
                <w:szCs w:val="20"/>
                <w:lang w:bidi="ar"/>
              </w:rPr>
              <w:t>个</w:t>
            </w:r>
          </w:p>
        </w:tc>
        <w:tc>
          <w:tcPr>
            <w:tcW w:w="1544" w:type="dxa"/>
            <w:noWrap w:val="0"/>
            <w:vAlign w:val="top"/>
          </w:tcPr>
          <w:p>
            <w:pPr>
              <w:pStyle w:val="19"/>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补助曲艺类国家级非遗代表性项目个数</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≥1个</w:t>
            </w:r>
          </w:p>
        </w:tc>
        <w:tc>
          <w:tcPr>
            <w:tcW w:w="1125" w:type="dxa"/>
            <w:gridSpan w:val="2"/>
            <w:noWrap w:val="0"/>
            <w:vAlign w:val="top"/>
          </w:tcPr>
          <w:p>
            <w:pPr>
              <w:widowControl/>
              <w:jc w:val="left"/>
              <w:textAlignment w:val="top"/>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1个</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补助其他类国家级非遗代表性项目个数</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≥39个</w:t>
            </w:r>
          </w:p>
        </w:tc>
        <w:tc>
          <w:tcPr>
            <w:tcW w:w="1125" w:type="dxa"/>
            <w:gridSpan w:val="2"/>
            <w:noWrap w:val="0"/>
            <w:vAlign w:val="top"/>
          </w:tcPr>
          <w:p>
            <w:pPr>
              <w:widowControl/>
              <w:jc w:val="left"/>
              <w:textAlignment w:val="top"/>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bidi="ar"/>
              </w:rPr>
              <w:t>40</w:t>
            </w:r>
            <w:r>
              <w:rPr>
                <w:rFonts w:hint="eastAsia" w:ascii="宋体" w:hAnsi="宋体" w:eastAsia="宋体" w:cs="宋体"/>
                <w:color w:val="auto"/>
                <w:kern w:val="0"/>
                <w:sz w:val="20"/>
                <w:szCs w:val="20"/>
                <w:lang w:eastAsia="zh-CN" w:bidi="ar"/>
              </w:rPr>
              <w:t>个</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开展国家级非遗代表性传承人记录工作个数</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≥2人</w:t>
            </w:r>
          </w:p>
        </w:tc>
        <w:tc>
          <w:tcPr>
            <w:tcW w:w="1125" w:type="dxa"/>
            <w:gridSpan w:val="2"/>
            <w:noWrap w:val="0"/>
            <w:vAlign w:val="top"/>
          </w:tcPr>
          <w:p>
            <w:pPr>
              <w:widowControl/>
              <w:jc w:val="left"/>
              <w:textAlignment w:val="top"/>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bidi="ar"/>
              </w:rPr>
              <w:t>2</w:t>
            </w:r>
            <w:r>
              <w:rPr>
                <w:rFonts w:hint="eastAsia" w:ascii="宋体" w:hAnsi="宋体" w:eastAsia="宋体" w:cs="宋体"/>
                <w:color w:val="auto"/>
                <w:kern w:val="0"/>
                <w:sz w:val="20"/>
                <w:szCs w:val="20"/>
                <w:lang w:eastAsia="zh-CN" w:bidi="ar"/>
              </w:rPr>
              <w:t>人</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研培计划培训班次</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≥2期</w:t>
            </w:r>
          </w:p>
        </w:tc>
        <w:tc>
          <w:tcPr>
            <w:tcW w:w="1125" w:type="dxa"/>
            <w:gridSpan w:val="2"/>
            <w:noWrap w:val="0"/>
            <w:vAlign w:val="top"/>
          </w:tcPr>
          <w:p>
            <w:pPr>
              <w:widowControl/>
              <w:jc w:val="left"/>
              <w:textAlignment w:val="top"/>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4期</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研培计划培训人次</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≥80人</w:t>
            </w:r>
          </w:p>
        </w:tc>
        <w:tc>
          <w:tcPr>
            <w:tcW w:w="1125" w:type="dxa"/>
            <w:gridSpan w:val="2"/>
            <w:noWrap w:val="0"/>
            <w:vAlign w:val="top"/>
          </w:tcPr>
          <w:p>
            <w:pPr>
              <w:widowControl/>
              <w:jc w:val="left"/>
              <w:textAlignment w:val="top"/>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bidi="ar"/>
              </w:rPr>
              <w:t>97人</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restart"/>
            <w:noWrap w:val="0"/>
            <w:vAlign w:val="top"/>
          </w:tcPr>
          <w:p>
            <w:pPr>
              <w:pStyle w:val="19"/>
              <w:spacing w:before="2"/>
              <w:rPr>
                <w:rFonts w:hint="eastAsia" w:ascii="宋体" w:hAnsi="宋体" w:eastAsia="宋体" w:cs="宋体"/>
                <w:color w:val="auto"/>
                <w:sz w:val="20"/>
                <w:szCs w:val="20"/>
              </w:rPr>
            </w:pPr>
          </w:p>
          <w:p>
            <w:pPr>
              <w:pStyle w:val="19"/>
              <w:spacing w:before="1"/>
              <w:ind w:left="179"/>
              <w:rPr>
                <w:rFonts w:hint="eastAsia" w:ascii="宋体" w:hAnsi="宋体" w:eastAsia="宋体" w:cs="宋体"/>
                <w:color w:val="auto"/>
                <w:sz w:val="20"/>
                <w:szCs w:val="20"/>
              </w:rPr>
            </w:pPr>
            <w:r>
              <w:rPr>
                <w:rFonts w:hint="eastAsia" w:ascii="宋体" w:hAnsi="宋体" w:eastAsia="宋体" w:cs="宋体"/>
                <w:color w:val="auto"/>
                <w:spacing w:val="-4"/>
                <w:sz w:val="20"/>
                <w:szCs w:val="20"/>
              </w:rPr>
              <w:t>质量指标</w:t>
            </w: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研培计划合格率</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25" w:type="dxa"/>
            <w:gridSpan w:val="2"/>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92</w:t>
            </w:r>
            <w:r>
              <w:rPr>
                <w:rFonts w:hint="eastAsia" w:ascii="宋体" w:hAnsi="宋体" w:eastAsia="宋体" w:cs="宋体"/>
                <w:color w:val="auto"/>
                <w:kern w:val="0"/>
                <w:sz w:val="20"/>
                <w:szCs w:val="20"/>
                <w:lang w:bidi="ar"/>
              </w:rPr>
              <w:t>%</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tcBorders>
            <w:noWrap w:val="0"/>
            <w:vAlign w:val="top"/>
          </w:tcPr>
          <w:p>
            <w:pPr>
              <w:rPr>
                <w:rFonts w:hint="eastAsia" w:ascii="宋体" w:hAnsi="宋体" w:eastAsia="宋体" w:cs="宋体"/>
                <w:color w:val="auto"/>
                <w:sz w:val="20"/>
                <w:szCs w:val="20"/>
              </w:rPr>
            </w:pPr>
          </w:p>
        </w:tc>
        <w:tc>
          <w:tcPr>
            <w:tcW w:w="709" w:type="dxa"/>
            <w:vMerge w:val="continue"/>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tcBorders>
              <w:top w:val="nil"/>
            </w:tcBorders>
            <w:noWrap w:val="0"/>
            <w:vAlign w:val="top"/>
          </w:tcPr>
          <w:p>
            <w:pPr>
              <w:rPr>
                <w:rFonts w:hint="eastAsia" w:ascii="宋体" w:hAnsi="宋体" w:eastAsia="宋体" w:cs="宋体"/>
                <w:color w:val="auto"/>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国家级非遗代表性传承人记录工作验收合格率</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25" w:type="dxa"/>
            <w:gridSpan w:val="2"/>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vMerge w:val="continue"/>
            <w:tcBorders>
              <w:top w:val="nil"/>
              <w:bottom w:val="nil"/>
            </w:tcBorders>
            <w:noWrap w:val="0"/>
            <w:vAlign w:val="top"/>
          </w:tcPr>
          <w:p>
            <w:pPr>
              <w:rPr>
                <w:rFonts w:hint="eastAsia" w:ascii="宋体" w:hAnsi="宋体" w:eastAsia="宋体" w:cs="宋体"/>
                <w:color w:val="auto"/>
                <w:sz w:val="20"/>
                <w:szCs w:val="20"/>
              </w:rPr>
            </w:pPr>
          </w:p>
        </w:tc>
        <w:tc>
          <w:tcPr>
            <w:tcW w:w="709" w:type="dxa"/>
            <w:vMerge w:val="continue"/>
            <w:tcBorders>
              <w:top w:val="nil"/>
              <w:bottom w:val="nil"/>
            </w:tcBorders>
            <w:noWrap w:val="0"/>
            <w:vAlign w:val="top"/>
          </w:tcPr>
          <w:p>
            <w:pPr>
              <w:rPr>
                <w:rFonts w:hint="eastAsia" w:ascii="宋体" w:hAnsi="宋体" w:eastAsia="宋体" w:cs="宋体"/>
                <w:color w:val="auto"/>
                <w:sz w:val="20"/>
                <w:szCs w:val="20"/>
              </w:rPr>
            </w:pPr>
          </w:p>
        </w:tc>
        <w:tc>
          <w:tcPr>
            <w:tcW w:w="1242" w:type="dxa"/>
            <w:gridSpan w:val="2"/>
            <w:vMerge w:val="restart"/>
            <w:noWrap w:val="0"/>
            <w:vAlign w:val="top"/>
          </w:tcPr>
          <w:p>
            <w:pPr>
              <w:pStyle w:val="19"/>
              <w:spacing w:before="4"/>
              <w:rPr>
                <w:rFonts w:hint="eastAsia" w:ascii="宋体" w:hAnsi="宋体" w:eastAsia="宋体" w:cs="宋体"/>
                <w:color w:val="auto"/>
                <w:sz w:val="20"/>
                <w:szCs w:val="20"/>
              </w:rPr>
            </w:pPr>
          </w:p>
          <w:p>
            <w:pPr>
              <w:pStyle w:val="19"/>
              <w:ind w:left="179"/>
              <w:rPr>
                <w:rFonts w:hint="eastAsia" w:ascii="宋体" w:hAnsi="宋体" w:eastAsia="宋体" w:cs="宋体"/>
                <w:color w:val="auto"/>
                <w:sz w:val="20"/>
                <w:szCs w:val="20"/>
              </w:rPr>
            </w:pPr>
            <w:r>
              <w:rPr>
                <w:rFonts w:hint="eastAsia" w:ascii="宋体" w:hAnsi="宋体" w:eastAsia="宋体" w:cs="宋体"/>
                <w:color w:val="auto"/>
                <w:spacing w:val="-4"/>
                <w:sz w:val="20"/>
                <w:szCs w:val="20"/>
              </w:rPr>
              <w:t>时效指标</w:t>
            </w: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lang w:eastAsia="zh-CN"/>
              </w:rPr>
            </w:pPr>
            <w:r>
              <w:rPr>
                <w:rFonts w:hint="eastAsia" w:ascii="宋体" w:hAnsi="宋体" w:eastAsia="宋体" w:cs="宋体"/>
                <w:i w:val="0"/>
                <w:color w:val="auto"/>
                <w:kern w:val="0"/>
                <w:sz w:val="20"/>
                <w:szCs w:val="20"/>
                <w:u w:val="none"/>
                <w:lang w:val="en-US" w:eastAsia="zh-CN" w:bidi="ar"/>
              </w:rPr>
              <w:t>研培计划结业时间</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2023年12月前</w:t>
            </w:r>
          </w:p>
        </w:tc>
        <w:tc>
          <w:tcPr>
            <w:tcW w:w="1125" w:type="dxa"/>
            <w:gridSpan w:val="2"/>
            <w:noWrap w:val="0"/>
            <w:vAlign w:val="top"/>
          </w:tcPr>
          <w:p>
            <w:pPr>
              <w:pStyle w:val="1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202</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年</w:t>
            </w:r>
            <w:r>
              <w:rPr>
                <w:rFonts w:hint="eastAsia" w:ascii="宋体" w:hAnsi="宋体" w:eastAsia="宋体" w:cs="宋体"/>
                <w:color w:val="auto"/>
                <w:sz w:val="20"/>
                <w:szCs w:val="20"/>
                <w:lang w:val="en-US" w:eastAsia="zh-CN"/>
              </w:rPr>
              <w:t>10月</w:t>
            </w:r>
          </w:p>
        </w:tc>
        <w:tc>
          <w:tcPr>
            <w:tcW w:w="1544"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24" w:type="dxa"/>
            <w:tcBorders>
              <w:top w:val="nil"/>
            </w:tcBorders>
            <w:noWrap w:val="0"/>
            <w:vAlign w:val="top"/>
          </w:tcPr>
          <w:p>
            <w:pPr>
              <w:rPr>
                <w:rFonts w:hint="eastAsia" w:ascii="宋体" w:hAnsi="宋体" w:eastAsia="宋体" w:cs="宋体"/>
                <w:color w:val="auto"/>
                <w:sz w:val="20"/>
                <w:szCs w:val="20"/>
              </w:rPr>
            </w:pPr>
          </w:p>
        </w:tc>
        <w:tc>
          <w:tcPr>
            <w:tcW w:w="709" w:type="dxa"/>
            <w:tcBorders>
              <w:top w:val="nil"/>
            </w:tcBorders>
            <w:noWrap w:val="0"/>
            <w:vAlign w:val="top"/>
          </w:tcPr>
          <w:p>
            <w:pPr>
              <w:rPr>
                <w:rFonts w:hint="eastAsia" w:ascii="宋体" w:hAnsi="宋体" w:eastAsia="宋体" w:cs="宋体"/>
                <w:color w:val="auto"/>
                <w:sz w:val="20"/>
                <w:szCs w:val="20"/>
              </w:rPr>
            </w:pPr>
          </w:p>
        </w:tc>
        <w:tc>
          <w:tcPr>
            <w:tcW w:w="1242" w:type="dxa"/>
            <w:gridSpan w:val="2"/>
            <w:vMerge w:val="continue"/>
            <w:noWrap w:val="0"/>
            <w:vAlign w:val="top"/>
          </w:tcPr>
          <w:p>
            <w:pPr>
              <w:pStyle w:val="19"/>
              <w:ind w:left="179"/>
              <w:rPr>
                <w:rFonts w:hint="eastAsia" w:ascii="宋体" w:hAnsi="宋体" w:eastAsia="宋体" w:cs="宋体"/>
                <w:color w:val="auto"/>
                <w:spacing w:val="-4"/>
                <w:sz w:val="20"/>
                <w:szCs w:val="20"/>
              </w:rPr>
            </w:pPr>
          </w:p>
        </w:tc>
        <w:tc>
          <w:tcPr>
            <w:tcW w:w="289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国家级非遗代表性传承人记录工作招投标完成时间</w:t>
            </w:r>
          </w:p>
        </w:tc>
        <w:tc>
          <w:tcPr>
            <w:tcW w:w="1245" w:type="dxa"/>
            <w:gridSpan w:val="2"/>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2023年6月前</w:t>
            </w:r>
          </w:p>
        </w:tc>
        <w:tc>
          <w:tcPr>
            <w:tcW w:w="1125" w:type="dxa"/>
            <w:gridSpan w:val="2"/>
            <w:noWrap w:val="0"/>
            <w:vAlign w:val="top"/>
          </w:tcPr>
          <w:p>
            <w:pPr>
              <w:pStyle w:val="1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2023年4月</w:t>
            </w:r>
          </w:p>
        </w:tc>
        <w:tc>
          <w:tcPr>
            <w:tcW w:w="1544" w:type="dxa"/>
            <w:noWrap w:val="0"/>
            <w:vAlign w:val="top"/>
          </w:tcPr>
          <w:p>
            <w:pPr>
              <w:pStyle w:val="19"/>
              <w:rPr>
                <w:rFonts w:hint="eastAsia" w:ascii="宋体" w:hAnsi="宋体" w:eastAsia="宋体" w:cs="宋体"/>
                <w:color w:val="auto"/>
                <w:sz w:val="20"/>
                <w:szCs w:val="20"/>
              </w:rPr>
            </w:pPr>
          </w:p>
        </w:tc>
      </w:tr>
    </w:tbl>
    <w:tbl>
      <w:tblPr>
        <w:tblStyle w:val="11"/>
        <w:tblpPr w:leftFromText="180" w:rightFromText="180" w:vertAnchor="text" w:horzAnchor="page" w:tblpX="1270" w:tblpY="202"/>
        <w:tblOverlap w:val="never"/>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720"/>
        <w:gridCol w:w="1230"/>
        <w:gridCol w:w="2865"/>
        <w:gridCol w:w="1275"/>
        <w:gridCol w:w="111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restart"/>
            <w:tcBorders>
              <w:top w:val="nil"/>
            </w:tcBorders>
            <w:noWrap w:val="0"/>
            <w:vAlign w:val="top"/>
          </w:tcPr>
          <w:p>
            <w:pPr>
              <w:rPr>
                <w:rFonts w:hint="eastAsia" w:ascii="宋体" w:hAnsi="宋体" w:eastAsia="宋体" w:cs="宋体"/>
                <w:color w:val="auto"/>
                <w:sz w:val="20"/>
                <w:szCs w:val="20"/>
              </w:rPr>
            </w:pPr>
          </w:p>
        </w:tc>
        <w:tc>
          <w:tcPr>
            <w:tcW w:w="720" w:type="dxa"/>
            <w:vMerge w:val="restart"/>
            <w:noWrap w:val="0"/>
            <w:vAlign w:val="top"/>
          </w:tcPr>
          <w:p>
            <w:pPr>
              <w:pStyle w:val="19"/>
              <w:rPr>
                <w:rFonts w:hint="eastAsia" w:ascii="宋体" w:hAnsi="宋体" w:eastAsia="宋体" w:cs="宋体"/>
                <w:color w:val="auto"/>
                <w:sz w:val="20"/>
                <w:szCs w:val="20"/>
              </w:rPr>
            </w:pPr>
          </w:p>
          <w:p>
            <w:pPr>
              <w:pStyle w:val="19"/>
              <w:spacing w:line="292" w:lineRule="auto"/>
              <w:ind w:right="144"/>
              <w:rPr>
                <w:rFonts w:hint="eastAsia" w:ascii="宋体" w:hAnsi="宋体" w:eastAsia="宋体" w:cs="宋体"/>
                <w:color w:val="auto"/>
                <w:sz w:val="20"/>
                <w:szCs w:val="20"/>
              </w:rPr>
            </w:pPr>
            <w:r>
              <w:rPr>
                <w:rFonts w:hint="eastAsia" w:ascii="宋体" w:hAnsi="宋体" w:eastAsia="宋体" w:cs="宋体"/>
                <w:color w:val="auto"/>
                <w:spacing w:val="-6"/>
                <w:sz w:val="20"/>
                <w:szCs w:val="20"/>
              </w:rPr>
              <w:t>效益指标</w:t>
            </w:r>
          </w:p>
        </w:tc>
        <w:tc>
          <w:tcPr>
            <w:tcW w:w="1230" w:type="dxa"/>
            <w:vMerge w:val="restart"/>
            <w:noWrap w:val="0"/>
            <w:vAlign w:val="top"/>
          </w:tcPr>
          <w:p>
            <w:pPr>
              <w:pStyle w:val="19"/>
              <w:spacing w:line="292" w:lineRule="auto"/>
              <w:ind w:right="171"/>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经济效益</w:t>
            </w:r>
          </w:p>
          <w:p>
            <w:pPr>
              <w:pStyle w:val="19"/>
              <w:spacing w:line="292" w:lineRule="auto"/>
              <w:ind w:right="171"/>
              <w:jc w:val="center"/>
              <w:rPr>
                <w:rFonts w:hint="eastAsia" w:ascii="宋体" w:hAnsi="宋体" w:eastAsia="宋体" w:cs="宋体"/>
                <w:color w:val="auto"/>
                <w:sz w:val="20"/>
                <w:szCs w:val="20"/>
              </w:rPr>
            </w:pPr>
            <w:r>
              <w:rPr>
                <w:rFonts w:hint="eastAsia" w:ascii="宋体" w:hAnsi="宋体" w:eastAsia="宋体" w:cs="宋体"/>
                <w:color w:val="auto"/>
                <w:spacing w:val="-6"/>
                <w:sz w:val="20"/>
                <w:szCs w:val="20"/>
              </w:rPr>
              <w:t>指标</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研培计划参与学员相关产品销售额增长率</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≥5%</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6</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jc w:val="cente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研培计划参与学员相关产品种类增长率</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≥5%</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jc w:val="cente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bidi="ar"/>
              </w:rPr>
            </w:pPr>
            <w:r>
              <w:rPr>
                <w:rFonts w:hint="eastAsia" w:ascii="宋体" w:hAnsi="宋体" w:eastAsia="宋体" w:cs="宋体"/>
                <w:i w:val="0"/>
                <w:color w:val="auto"/>
                <w:kern w:val="0"/>
                <w:sz w:val="20"/>
                <w:szCs w:val="20"/>
                <w:u w:val="none"/>
                <w:lang w:val="en-US" w:eastAsia="zh-CN" w:bidi="ar"/>
              </w:rPr>
              <w:t>研培计划参与学员相关产品销售渠道增长率</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bidi="ar"/>
              </w:rPr>
            </w:pPr>
            <w:r>
              <w:rPr>
                <w:rFonts w:hint="eastAsia" w:ascii="宋体" w:hAnsi="宋体" w:eastAsia="宋体" w:cs="宋体"/>
                <w:i w:val="0"/>
                <w:color w:val="auto"/>
                <w:kern w:val="0"/>
                <w:sz w:val="20"/>
                <w:szCs w:val="20"/>
                <w:u w:val="none"/>
                <w:lang w:val="en-US" w:eastAsia="zh-CN" w:bidi="ar"/>
              </w:rPr>
              <w:t>≥5%</w:t>
            </w:r>
          </w:p>
        </w:tc>
        <w:tc>
          <w:tcPr>
            <w:tcW w:w="1110" w:type="dxa"/>
            <w:noWrap w:val="0"/>
            <w:vAlign w:val="top"/>
          </w:tcPr>
          <w:p>
            <w:pPr>
              <w:widowControl/>
              <w:jc w:val="left"/>
              <w:textAlignment w:val="top"/>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restart"/>
            <w:noWrap w:val="0"/>
            <w:vAlign w:val="top"/>
          </w:tcPr>
          <w:p>
            <w:pPr>
              <w:pStyle w:val="19"/>
              <w:spacing w:line="292" w:lineRule="auto"/>
              <w:ind w:right="171"/>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社会效益</w:t>
            </w:r>
          </w:p>
          <w:p>
            <w:pPr>
              <w:pStyle w:val="19"/>
              <w:spacing w:line="292" w:lineRule="auto"/>
              <w:ind w:right="171"/>
              <w:jc w:val="center"/>
              <w:rPr>
                <w:rFonts w:hint="eastAsia" w:ascii="宋体" w:hAnsi="宋体" w:eastAsia="宋体" w:cs="宋体"/>
                <w:color w:val="auto"/>
                <w:sz w:val="20"/>
                <w:szCs w:val="20"/>
              </w:rPr>
            </w:pPr>
            <w:r>
              <w:rPr>
                <w:rFonts w:hint="eastAsia" w:ascii="宋体" w:hAnsi="宋体" w:eastAsia="宋体" w:cs="宋体"/>
                <w:color w:val="auto"/>
                <w:spacing w:val="-6"/>
                <w:sz w:val="20"/>
                <w:szCs w:val="20"/>
              </w:rPr>
              <w:t>指标</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非遗传承人增长率</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≥2%</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tcBorders>
              <w:top w:val="nil"/>
            </w:tcBorders>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培训非遗传承人合格率</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92</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restart"/>
            <w:tcBorders>
              <w:top w:val="nil"/>
            </w:tcBorders>
            <w:noWrap w:val="0"/>
            <w:vAlign w:val="top"/>
          </w:tcPr>
          <w:p>
            <w:pPr>
              <w:rPr>
                <w:rFonts w:hint="eastAsia" w:ascii="宋体" w:hAnsi="宋体" w:eastAsia="宋体" w:cs="宋体"/>
                <w:color w:val="auto"/>
                <w:sz w:val="20"/>
                <w:szCs w:val="20"/>
              </w:rPr>
            </w:pPr>
          </w:p>
          <w:p>
            <w:pPr>
              <w:bidi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可持续影响指标</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对提高非遗领域理论研究水平的影响</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长期</w:t>
            </w:r>
          </w:p>
        </w:tc>
        <w:tc>
          <w:tcPr>
            <w:tcW w:w="1110" w:type="dxa"/>
            <w:noWrap w:val="0"/>
            <w:vAlign w:val="top"/>
          </w:tcPr>
          <w:p>
            <w:pPr>
              <w:widowControl/>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eastAsia="zh-CN" w:bidi="ar"/>
              </w:rPr>
              <w:t>完成率</w:t>
            </w:r>
            <w:r>
              <w:rPr>
                <w:rFonts w:hint="eastAsia" w:ascii="宋体" w:hAnsi="宋体" w:cs="宋体"/>
                <w:color w:val="auto"/>
                <w:kern w:val="0"/>
                <w:sz w:val="20"/>
                <w:szCs w:val="20"/>
                <w:highlight w:val="none"/>
                <w:lang w:val="en-US" w:eastAsia="zh-CN" w:bidi="ar"/>
              </w:rPr>
              <w:t>100%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对提升非遗传承人技能艺能的影响</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长期</w:t>
            </w:r>
          </w:p>
        </w:tc>
        <w:tc>
          <w:tcPr>
            <w:tcW w:w="1110" w:type="dxa"/>
            <w:noWrap w:val="0"/>
            <w:vAlign w:val="top"/>
          </w:tcPr>
          <w:p>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cs="宋体"/>
                <w:color w:val="auto"/>
                <w:kern w:val="0"/>
                <w:sz w:val="20"/>
                <w:szCs w:val="20"/>
                <w:highlight w:val="none"/>
                <w:lang w:eastAsia="zh-CN" w:bidi="ar"/>
              </w:rPr>
              <w:t>完成率</w:t>
            </w:r>
            <w:r>
              <w:rPr>
                <w:rFonts w:hint="eastAsia" w:ascii="宋体" w:hAnsi="宋体" w:cs="宋体"/>
                <w:color w:val="auto"/>
                <w:kern w:val="0"/>
                <w:sz w:val="20"/>
                <w:szCs w:val="20"/>
                <w:highlight w:val="none"/>
                <w:lang w:val="en-US" w:eastAsia="zh-CN" w:bidi="ar"/>
              </w:rPr>
              <w:t>100%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对增强非遗保护传承氛围的影响</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长期</w:t>
            </w:r>
          </w:p>
        </w:tc>
        <w:tc>
          <w:tcPr>
            <w:tcW w:w="1110" w:type="dxa"/>
            <w:noWrap w:val="0"/>
            <w:vAlign w:val="top"/>
          </w:tcPr>
          <w:p>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cs="宋体"/>
                <w:color w:val="auto"/>
                <w:kern w:val="0"/>
                <w:sz w:val="20"/>
                <w:szCs w:val="20"/>
                <w:highlight w:val="none"/>
                <w:lang w:eastAsia="zh-CN" w:bidi="ar"/>
              </w:rPr>
              <w:t>完成率</w:t>
            </w:r>
            <w:r>
              <w:rPr>
                <w:rFonts w:hint="eastAsia" w:ascii="宋体" w:hAnsi="宋体" w:cs="宋体"/>
                <w:color w:val="auto"/>
                <w:kern w:val="0"/>
                <w:sz w:val="20"/>
                <w:szCs w:val="20"/>
                <w:highlight w:val="none"/>
                <w:lang w:val="en-US" w:eastAsia="zh-CN" w:bidi="ar"/>
              </w:rPr>
              <w:t>100%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对提升非遗社会关注度的影响</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长期</w:t>
            </w:r>
          </w:p>
        </w:tc>
        <w:tc>
          <w:tcPr>
            <w:tcW w:w="1110" w:type="dxa"/>
            <w:noWrap w:val="0"/>
            <w:vAlign w:val="top"/>
          </w:tcPr>
          <w:p>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cs="宋体"/>
                <w:color w:val="auto"/>
                <w:kern w:val="0"/>
                <w:sz w:val="20"/>
                <w:szCs w:val="20"/>
                <w:highlight w:val="none"/>
                <w:lang w:eastAsia="zh-CN" w:bidi="ar"/>
              </w:rPr>
              <w:t>完成率</w:t>
            </w:r>
            <w:r>
              <w:rPr>
                <w:rFonts w:hint="eastAsia" w:ascii="宋体" w:hAnsi="宋体" w:cs="宋体"/>
                <w:color w:val="auto"/>
                <w:kern w:val="0"/>
                <w:sz w:val="20"/>
                <w:szCs w:val="20"/>
                <w:highlight w:val="none"/>
                <w:lang w:val="en-US" w:eastAsia="zh-CN" w:bidi="ar"/>
              </w:rPr>
              <w:t>100%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noWrap w:val="0"/>
            <w:vAlign w:val="top"/>
          </w:tcPr>
          <w:p>
            <w:pPr>
              <w:rPr>
                <w:rFonts w:hint="eastAsia" w:ascii="宋体" w:hAnsi="宋体" w:eastAsia="宋体" w:cs="宋体"/>
                <w:color w:val="auto"/>
                <w:sz w:val="20"/>
                <w:szCs w:val="20"/>
              </w:rPr>
            </w:pPr>
          </w:p>
        </w:tc>
        <w:tc>
          <w:tcPr>
            <w:tcW w:w="1230" w:type="dxa"/>
            <w:vMerge w:val="continue"/>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对扩大我国非遗保护工作国际影响力的作用</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长期</w:t>
            </w:r>
          </w:p>
        </w:tc>
        <w:tc>
          <w:tcPr>
            <w:tcW w:w="1110" w:type="dxa"/>
            <w:noWrap w:val="0"/>
            <w:vAlign w:val="top"/>
          </w:tcPr>
          <w:p>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cs="宋体"/>
                <w:color w:val="auto"/>
                <w:kern w:val="0"/>
                <w:sz w:val="20"/>
                <w:szCs w:val="20"/>
                <w:highlight w:val="none"/>
                <w:lang w:eastAsia="zh-CN" w:bidi="ar"/>
              </w:rPr>
              <w:t>完成率</w:t>
            </w:r>
            <w:r>
              <w:rPr>
                <w:rFonts w:hint="eastAsia" w:ascii="宋体" w:hAnsi="宋体" w:cs="宋体"/>
                <w:color w:val="auto"/>
                <w:kern w:val="0"/>
                <w:sz w:val="20"/>
                <w:szCs w:val="20"/>
                <w:highlight w:val="none"/>
                <w:lang w:val="en-US" w:eastAsia="zh-CN" w:bidi="ar"/>
              </w:rPr>
              <w:t>100%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restart"/>
            <w:noWrap w:val="0"/>
            <w:vAlign w:val="top"/>
          </w:tcPr>
          <w:p>
            <w:pPr>
              <w:pStyle w:val="19"/>
              <w:spacing w:line="292" w:lineRule="auto"/>
              <w:ind w:right="144"/>
              <w:rPr>
                <w:rFonts w:hint="eastAsia" w:ascii="宋体" w:hAnsi="宋体" w:eastAsia="宋体" w:cs="宋体"/>
                <w:color w:val="auto"/>
                <w:sz w:val="20"/>
                <w:szCs w:val="20"/>
              </w:rPr>
            </w:pPr>
            <w:r>
              <w:rPr>
                <w:rFonts w:hint="eastAsia" w:ascii="宋体" w:hAnsi="宋体" w:eastAsia="宋体" w:cs="宋体"/>
                <w:color w:val="auto"/>
                <w:spacing w:val="-6"/>
                <w:sz w:val="20"/>
                <w:szCs w:val="20"/>
              </w:rPr>
              <w:t>满意度指</w:t>
            </w:r>
            <w:r>
              <w:rPr>
                <w:rFonts w:hint="eastAsia" w:ascii="宋体" w:hAnsi="宋体" w:eastAsia="宋体" w:cs="宋体"/>
                <w:color w:val="auto"/>
                <w:spacing w:val="-10"/>
                <w:sz w:val="20"/>
                <w:szCs w:val="20"/>
              </w:rPr>
              <w:t>标</w:t>
            </w:r>
          </w:p>
        </w:tc>
        <w:tc>
          <w:tcPr>
            <w:tcW w:w="1230" w:type="dxa"/>
            <w:vMerge w:val="restart"/>
            <w:noWrap w:val="0"/>
            <w:vAlign w:val="top"/>
          </w:tcPr>
          <w:p>
            <w:pPr>
              <w:pStyle w:val="19"/>
              <w:spacing w:before="37" w:line="292" w:lineRule="auto"/>
              <w:ind w:left="179" w:right="171"/>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服务对象满意度</w:t>
            </w:r>
          </w:p>
          <w:p>
            <w:pPr>
              <w:pStyle w:val="19"/>
              <w:spacing w:before="37" w:line="292" w:lineRule="auto"/>
              <w:ind w:left="179" w:right="171"/>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指</w:t>
            </w:r>
            <w:r>
              <w:rPr>
                <w:rFonts w:hint="eastAsia" w:ascii="宋体" w:hAnsi="宋体" w:eastAsia="宋体" w:cs="宋体"/>
                <w:color w:val="auto"/>
                <w:w w:val="99"/>
                <w:sz w:val="20"/>
                <w:szCs w:val="20"/>
              </w:rPr>
              <w:t>标</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非遗项目保护单位满意度</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tcBorders>
              <w:top w:val="nil"/>
            </w:tcBorders>
            <w:noWrap w:val="0"/>
            <w:vAlign w:val="top"/>
          </w:tcPr>
          <w:p>
            <w:pPr>
              <w:rPr>
                <w:rFonts w:hint="eastAsia" w:ascii="宋体" w:hAnsi="宋体" w:eastAsia="宋体" w:cs="宋体"/>
                <w:color w:val="auto"/>
                <w:sz w:val="20"/>
                <w:szCs w:val="20"/>
              </w:rPr>
            </w:pPr>
          </w:p>
        </w:tc>
        <w:tc>
          <w:tcPr>
            <w:tcW w:w="1230" w:type="dxa"/>
            <w:vMerge w:val="continue"/>
            <w:tcBorders>
              <w:top w:val="nil"/>
            </w:tcBorders>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参与国家级非遗代表性传承人记录工作对象满意度</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10</w:t>
            </w:r>
            <w:r>
              <w:rPr>
                <w:rFonts w:hint="eastAsia" w:ascii="宋体" w:hAnsi="宋体" w:eastAsia="宋体" w:cs="宋体"/>
                <w:color w:val="auto"/>
                <w:kern w:val="0"/>
                <w:sz w:val="20"/>
                <w:szCs w:val="20"/>
                <w:lang w:bidi="ar"/>
              </w:rPr>
              <w:t>0%</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7" w:type="dxa"/>
            <w:vMerge w:val="continue"/>
            <w:tcBorders>
              <w:top w:val="nil"/>
            </w:tcBorders>
            <w:noWrap w:val="0"/>
            <w:vAlign w:val="top"/>
          </w:tcPr>
          <w:p>
            <w:pPr>
              <w:rPr>
                <w:rFonts w:hint="eastAsia" w:ascii="宋体" w:hAnsi="宋体" w:eastAsia="宋体" w:cs="宋体"/>
                <w:color w:val="auto"/>
                <w:sz w:val="20"/>
                <w:szCs w:val="20"/>
              </w:rPr>
            </w:pPr>
          </w:p>
        </w:tc>
        <w:tc>
          <w:tcPr>
            <w:tcW w:w="720" w:type="dxa"/>
            <w:vMerge w:val="continue"/>
            <w:tcBorders>
              <w:top w:val="nil"/>
            </w:tcBorders>
            <w:noWrap w:val="0"/>
            <w:vAlign w:val="top"/>
          </w:tcPr>
          <w:p>
            <w:pPr>
              <w:rPr>
                <w:rFonts w:hint="eastAsia" w:ascii="宋体" w:hAnsi="宋体" w:eastAsia="宋体" w:cs="宋体"/>
                <w:color w:val="auto"/>
                <w:sz w:val="20"/>
                <w:szCs w:val="20"/>
              </w:rPr>
            </w:pPr>
          </w:p>
        </w:tc>
        <w:tc>
          <w:tcPr>
            <w:tcW w:w="1230" w:type="dxa"/>
            <w:vMerge w:val="continue"/>
            <w:tcBorders>
              <w:top w:val="nil"/>
            </w:tcBorders>
            <w:noWrap w:val="0"/>
            <w:vAlign w:val="top"/>
          </w:tcPr>
          <w:p>
            <w:pPr>
              <w:rPr>
                <w:rFonts w:hint="eastAsia" w:ascii="宋体" w:hAnsi="宋体" w:eastAsia="宋体" w:cs="宋体"/>
                <w:color w:val="auto"/>
                <w:sz w:val="20"/>
                <w:szCs w:val="20"/>
              </w:rPr>
            </w:pP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参与研培计划的非遗传承人满意度</w:t>
            </w:r>
          </w:p>
        </w:tc>
        <w:tc>
          <w:tcPr>
            <w:tcW w:w="1275" w:type="dxa"/>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≥90%</w:t>
            </w:r>
          </w:p>
        </w:tc>
        <w:tc>
          <w:tcPr>
            <w:tcW w:w="1110" w:type="dxa"/>
            <w:noWrap w:val="0"/>
            <w:vAlign w:val="top"/>
          </w:tcPr>
          <w:p>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w:t>
            </w:r>
          </w:p>
        </w:tc>
        <w:tc>
          <w:tcPr>
            <w:tcW w:w="1560" w:type="dxa"/>
            <w:noWrap w:val="0"/>
            <w:vAlign w:val="top"/>
          </w:tcPr>
          <w:p>
            <w:pPr>
              <w:pStyle w:val="19"/>
              <w:rPr>
                <w:rFonts w:hint="eastAsia" w:ascii="宋体"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27" w:type="dxa"/>
            <w:noWrap w:val="0"/>
            <w:vAlign w:val="top"/>
          </w:tcPr>
          <w:p>
            <w:pPr>
              <w:pStyle w:val="19"/>
              <w:spacing w:before="31"/>
              <w:ind w:left="160"/>
              <w:rPr>
                <w:rFonts w:hint="eastAsia" w:ascii="宋体" w:hAnsi="宋体" w:eastAsia="宋体" w:cs="宋体"/>
                <w:color w:val="auto"/>
                <w:sz w:val="20"/>
                <w:szCs w:val="20"/>
              </w:rPr>
            </w:pPr>
            <w:r>
              <w:rPr>
                <w:rFonts w:hint="eastAsia" w:ascii="宋体" w:hAnsi="宋体" w:eastAsia="宋体" w:cs="宋体"/>
                <w:color w:val="auto"/>
                <w:spacing w:val="-6"/>
                <w:sz w:val="20"/>
                <w:szCs w:val="20"/>
              </w:rPr>
              <w:t>说明</w:t>
            </w:r>
          </w:p>
        </w:tc>
        <w:tc>
          <w:tcPr>
            <w:tcW w:w="8760" w:type="dxa"/>
            <w:gridSpan w:val="6"/>
            <w:noWrap w:val="0"/>
            <w:vAlign w:val="top"/>
          </w:tcPr>
          <w:p>
            <w:pPr>
              <w:pStyle w:val="19"/>
              <w:spacing w:before="31"/>
              <w:ind w:left="108" w:right="-15"/>
              <w:rPr>
                <w:rFonts w:hint="eastAsia" w:ascii="宋体" w:hAnsi="宋体" w:eastAsia="宋体" w:cs="宋体"/>
                <w:color w:val="auto"/>
                <w:sz w:val="20"/>
                <w:szCs w:val="20"/>
              </w:rPr>
            </w:pPr>
            <w:r>
              <w:rPr>
                <w:rFonts w:hint="eastAsia" w:ascii="宋体" w:hAnsi="宋体" w:eastAsia="宋体" w:cs="宋体"/>
                <w:color w:val="auto"/>
                <w:spacing w:val="-7"/>
                <w:w w:val="95"/>
                <w:sz w:val="20"/>
                <w:szCs w:val="20"/>
              </w:rPr>
              <w:t>无。</w:t>
            </w:r>
          </w:p>
        </w:tc>
      </w:tr>
    </w:tbl>
    <w:p>
      <w:pPr>
        <w:rPr>
          <w:rFonts w:ascii="Times New Roman" w:hAnsi="Times New Roman"/>
          <w:color w:val="auto"/>
          <w:sz w:val="20"/>
        </w:rPr>
        <w:sectPr>
          <w:footerReference r:id="rId3" w:type="default"/>
          <w:pgSz w:w="11910" w:h="16840"/>
          <w:pgMar w:top="2098" w:right="1474" w:bottom="1984" w:left="1587" w:header="0" w:footer="974" w:gutter="0"/>
          <w:pgNumType w:fmt="decimal"/>
          <w:cols w:space="720" w:num="1"/>
        </w:sectPr>
      </w:pPr>
    </w:p>
    <w:p>
      <w:pPr>
        <w:spacing w:line="20" w:lineRule="exact"/>
        <w:jc w:val="both"/>
        <w:rPr>
          <w:rFonts w:ascii="Times New Roman" w:hAnsi="Times New Roman"/>
          <w:color w:val="auto"/>
        </w:rPr>
      </w:pPr>
    </w:p>
    <w:p>
      <w:pPr>
        <w:pStyle w:val="2"/>
        <w:keepNext w:val="0"/>
        <w:keepLines w:val="0"/>
        <w:pageBreakBefore w:val="0"/>
        <w:widowControl w:val="0"/>
        <w:kinsoku/>
        <w:wordWrap/>
        <w:overflowPunct/>
        <w:topLinePunct w:val="0"/>
        <w:autoSpaceDE/>
        <w:autoSpaceDN/>
        <w:bidi w:val="0"/>
        <w:spacing w:before="0" w:beforeLines="0" w:after="0" w:afterLines="0" w:line="560"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pStyle w:val="2"/>
        <w:keepNext w:val="0"/>
        <w:keepLines w:val="0"/>
        <w:pageBreakBefore w:val="0"/>
        <w:widowControl w:val="0"/>
        <w:kinsoku/>
        <w:wordWrap/>
        <w:overflowPunct/>
        <w:topLinePunct w:val="0"/>
        <w:autoSpaceDE/>
        <w:autoSpaceDN/>
        <w:bidi w:val="0"/>
        <w:spacing w:before="0" w:beforeLines="0" w:after="0" w:afterLines="0" w:line="560" w:lineRule="exact"/>
        <w:jc w:val="both"/>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eastAsia="zh-CN"/>
        </w:rPr>
      </w:pPr>
    </w:p>
    <w:p>
      <w:pPr>
        <w:pStyle w:val="2"/>
        <w:keepNext w:val="0"/>
        <w:keepLines w:val="0"/>
        <w:pageBreakBefore w:val="0"/>
        <w:widowControl w:val="0"/>
        <w:tabs>
          <w:tab w:val="left" w:pos="932"/>
        </w:tabs>
        <w:kinsoku/>
        <w:wordWrap/>
        <w:overflowPunct/>
        <w:topLinePunct w:val="0"/>
        <w:autoSpaceDE/>
        <w:autoSpaceDN/>
        <w:bidi w:val="0"/>
        <w:adjustRightInd/>
        <w:snapToGrid/>
        <w:spacing w:line="800" w:lineRule="exact"/>
        <w:jc w:val="both"/>
        <w:textAlignment w:val="auto"/>
        <w:rPr>
          <w:rFonts w:hint="eastAsia"/>
          <w:lang w:eastAsia="zh-CN"/>
        </w:rPr>
      </w:pPr>
      <w:r>
        <w:rPr>
          <w:rFonts w:hint="eastAsia"/>
          <w:lang w:eastAsia="zh-CN"/>
        </w:rPr>
        <w:tab/>
      </w:r>
    </w:p>
    <w:p>
      <w:pPr>
        <w:pStyle w:val="2"/>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lang w:eastAsia="zh-CN"/>
        </w:rPr>
      </w:pPr>
    </w:p>
    <w:tbl>
      <w:tblPr>
        <w:tblStyle w:val="11"/>
        <w:tblW w:w="8845"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15" w:type="dxa"/>
            <w:noWrap w:val="0"/>
            <w:vAlign w:val="center"/>
          </w:tcPr>
          <w:p>
            <w:pPr>
              <w:keepNext w:val="0"/>
              <w:keepLines w:val="0"/>
              <w:pageBreakBefore w:val="0"/>
              <w:widowControl w:val="0"/>
              <w:tabs>
                <w:tab w:val="left" w:pos="2925"/>
              </w:tabs>
              <w:kinsoku/>
              <w:wordWrap/>
              <w:overflowPunct/>
              <w:topLinePunct w:val="0"/>
              <w:autoSpaceDE/>
              <w:autoSpaceDN/>
              <w:bidi w:val="0"/>
              <w:adjustRightInd w:val="0"/>
              <w:snapToGrid w:val="0"/>
              <w:spacing w:line="560" w:lineRule="exact"/>
              <w:ind w:left="210" w:leftChars="100" w:right="210" w:rightChars="100"/>
              <w:textAlignment w:val="auto"/>
              <w:rPr>
                <w:rFonts w:ascii="Times New Roman" w:hAnsi="Times New Roman" w:eastAsia="方正仿宋_GBK"/>
                <w:color w:val="auto"/>
                <w:sz w:val="28"/>
                <w:szCs w:val="28"/>
              </w:rPr>
            </w:pPr>
            <w:r>
              <w:rPr>
                <w:rFonts w:ascii="Times New Roman" w:hAnsi="Times New Roman" w:eastAsia="方正仿宋_GBK"/>
                <w:color w:val="auto"/>
                <w:sz w:val="28"/>
                <w:szCs w:val="28"/>
              </w:rPr>
              <w:t>抄送：财政部广西监管局，自治区人大财经委。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210" w:leftChars="100" w:right="210" w:rightChars="100"/>
              <w:textAlignment w:val="auto"/>
              <w:rPr>
                <w:rFonts w:ascii="Times New Roman" w:hAnsi="Times New Roman" w:eastAsia="方正仿宋_GBK"/>
                <w:color w:val="auto"/>
                <w:spacing w:val="-6"/>
                <w:sz w:val="28"/>
                <w:szCs w:val="28"/>
              </w:rPr>
            </w:pPr>
            <w:r>
              <w:rPr>
                <w:rFonts w:ascii="Times New Roman" w:hAnsi="Times New Roman" w:eastAsia="方正仿宋_GBK"/>
                <w:color w:val="auto"/>
                <w:spacing w:val="-6"/>
                <w:sz w:val="28"/>
                <w:szCs w:val="28"/>
              </w:rPr>
              <w:t xml:space="preserve">广西壮族自治区文化和旅游厅办公室       </w:t>
            </w:r>
            <w:r>
              <w:rPr>
                <w:rFonts w:hint="eastAsia" w:ascii="Times New Roman" w:hAnsi="Times New Roman" w:eastAsia="方正仿宋_GBK"/>
                <w:color w:val="auto"/>
                <w:spacing w:val="-6"/>
                <w:sz w:val="28"/>
                <w:szCs w:val="28"/>
              </w:rPr>
              <w:t xml:space="preserve">  </w:t>
            </w:r>
            <w:r>
              <w:rPr>
                <w:rFonts w:ascii="Times New Roman" w:hAnsi="Times New Roman" w:eastAsia="方正仿宋_GBK"/>
                <w:color w:val="auto"/>
                <w:spacing w:val="-6"/>
                <w:sz w:val="28"/>
                <w:szCs w:val="28"/>
              </w:rPr>
              <w:t xml:space="preserve"> 20</w:t>
            </w:r>
            <w:r>
              <w:rPr>
                <w:rFonts w:ascii="Times New Roman" w:hAnsi="Times New Roman"/>
                <w:color w:val="auto"/>
                <w:sz w:val="28"/>
                <w:szCs w:val="28"/>
              </w:rPr>
              <w:t>2</w:t>
            </w:r>
            <w:r>
              <w:rPr>
                <w:rFonts w:hint="eastAsia" w:ascii="Times New Roman" w:hAnsi="Times New Roman"/>
                <w:color w:val="auto"/>
                <w:sz w:val="28"/>
                <w:szCs w:val="28"/>
                <w:lang w:val="en-US" w:eastAsia="zh-CN"/>
              </w:rPr>
              <w:t>4</w:t>
            </w:r>
            <w:r>
              <w:rPr>
                <w:rFonts w:ascii="Times New Roman" w:hAnsi="Times New Roman" w:eastAsia="方正仿宋_GBK"/>
                <w:color w:val="auto"/>
                <w:spacing w:val="-6"/>
                <w:sz w:val="28"/>
                <w:szCs w:val="28"/>
              </w:rPr>
              <w:t>年</w:t>
            </w:r>
            <w:r>
              <w:rPr>
                <w:rFonts w:hint="eastAsia" w:ascii="Times New Roman" w:hAnsi="Times New Roman" w:eastAsia="方正仿宋_GBK"/>
                <w:color w:val="auto"/>
                <w:sz w:val="28"/>
                <w:szCs w:val="28"/>
                <w:lang w:val="en-US" w:eastAsia="zh-CN"/>
              </w:rPr>
              <w:t>3</w:t>
            </w:r>
            <w:r>
              <w:rPr>
                <w:rFonts w:ascii="Times New Roman" w:hAnsi="Times New Roman" w:eastAsia="方正仿宋_GBK"/>
                <w:color w:val="auto"/>
                <w:spacing w:val="-6"/>
                <w:sz w:val="28"/>
                <w:szCs w:val="28"/>
              </w:rPr>
              <w:t>月</w:t>
            </w:r>
            <w:r>
              <w:rPr>
                <w:rFonts w:hint="eastAsia" w:ascii="Times New Roman" w:hAnsi="Times New Roman" w:eastAsia="方正仿宋_GBK"/>
                <w:color w:val="auto"/>
                <w:sz w:val="28"/>
                <w:szCs w:val="28"/>
                <w:lang w:val="en-US" w:eastAsia="zh-CN"/>
              </w:rPr>
              <w:t>29</w:t>
            </w:r>
            <w:r>
              <w:rPr>
                <w:rFonts w:ascii="Times New Roman" w:hAnsi="Times New Roman" w:eastAsia="方正仿宋_GBK"/>
                <w:color w:val="auto"/>
                <w:spacing w:val="-6"/>
                <w:sz w:val="28"/>
                <w:szCs w:val="28"/>
              </w:rPr>
              <w:t>日印发</w:t>
            </w:r>
          </w:p>
        </w:tc>
      </w:tr>
    </w:tbl>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方正小标宋简体"/>
          <w:sz w:val="44"/>
          <w:szCs w:val="44"/>
          <w:lang w:val="en"/>
        </w:rPr>
      </w:pPr>
    </w:p>
    <w:sectPr>
      <w:headerReference r:id="rId4" w:type="default"/>
      <w:footerReference r:id="rId5" w:type="default"/>
      <w:pgSz w:w="11906" w:h="16838"/>
      <w:pgMar w:top="2098" w:right="1474" w:bottom="198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-190500</wp:posOffset>
              </wp:positionV>
              <wp:extent cx="696595" cy="2476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96595" cy="247650"/>
                      </a:xfrm>
                      <a:prstGeom prst="rect">
                        <a:avLst/>
                      </a:prstGeom>
                      <a:noFill/>
                      <a:ln>
                        <a:noFill/>
                      </a:ln>
                    </wps:spPr>
                    <wps:txbx>
                      <w:txbxContent>
                        <w:p>
                          <w:pPr>
                            <w:pStyle w:val="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25pt;margin-top:-15pt;height:19.5pt;width:54.85pt;mso-position-horizontal-relative:margin;z-index:251659264;mso-width-relative:page;mso-height-relative:page;" filled="f" stroked="f" coordsize="21600,21600" o:gfxdata="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fVW5rWAAAABwEAAA8AAAAAAAAA&#10;AQAgAAAAIgAAAGRycy9kb3ducmV2LnhtbFBLAQIUABQAAAAIAIdO4kA1YAqx2gEAAKQDAAAOAAAA&#10;AAAAAAEAIAAAACUBAABkcnMvZTJvRG9jLnhtbFBLBQYAAAAABgAGAFkBAABxBQAAAAA=&#10;">
              <v:fill on="f" focussize="0,0"/>
              <v:stroke on="f"/>
              <v:imagedata o:title=""/>
              <o:lock v:ext="edit" aspectratio="f"/>
              <v:textbox inset="0mm,0mm,0mm,0mm">
                <w:txbxContent>
                  <w:p>
                    <w:pPr>
                      <w:pStyle w:val="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F06EB"/>
    <w:multiLevelType w:val="singleLevel"/>
    <w:tmpl w:val="AF7F06EB"/>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EEAF0499"/>
    <w:multiLevelType w:val="singleLevel"/>
    <w:tmpl w:val="EEAF049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89"/>
    <w:rsid w:val="00013789"/>
    <w:rsid w:val="000225E3"/>
    <w:rsid w:val="00027618"/>
    <w:rsid w:val="00050391"/>
    <w:rsid w:val="00133273"/>
    <w:rsid w:val="001B15D2"/>
    <w:rsid w:val="001E1776"/>
    <w:rsid w:val="002D62B2"/>
    <w:rsid w:val="00482C67"/>
    <w:rsid w:val="004F52AB"/>
    <w:rsid w:val="00510104"/>
    <w:rsid w:val="005F5A69"/>
    <w:rsid w:val="00734EFD"/>
    <w:rsid w:val="007471DC"/>
    <w:rsid w:val="007F6365"/>
    <w:rsid w:val="00943A86"/>
    <w:rsid w:val="00A33892"/>
    <w:rsid w:val="00BA2D93"/>
    <w:rsid w:val="00E25439"/>
    <w:rsid w:val="00EA287A"/>
    <w:rsid w:val="00F732FF"/>
    <w:rsid w:val="00FB3264"/>
    <w:rsid w:val="00FD3CF5"/>
    <w:rsid w:val="0EFA626C"/>
    <w:rsid w:val="21737154"/>
    <w:rsid w:val="2D3E3C0D"/>
    <w:rsid w:val="2F3B4B9A"/>
    <w:rsid w:val="2F5EBD2B"/>
    <w:rsid w:val="2FD65CB2"/>
    <w:rsid w:val="363F3C87"/>
    <w:rsid w:val="3AFE0489"/>
    <w:rsid w:val="3AFF8480"/>
    <w:rsid w:val="3B6F46D4"/>
    <w:rsid w:val="3DB3B908"/>
    <w:rsid w:val="3FABAF17"/>
    <w:rsid w:val="3FDE35F2"/>
    <w:rsid w:val="4EC72EE7"/>
    <w:rsid w:val="4FAF0F23"/>
    <w:rsid w:val="56CF07EF"/>
    <w:rsid w:val="57FF3D6E"/>
    <w:rsid w:val="59DD1C8A"/>
    <w:rsid w:val="59F846C1"/>
    <w:rsid w:val="5AF36B8C"/>
    <w:rsid w:val="5D4FB133"/>
    <w:rsid w:val="5DF9B7FD"/>
    <w:rsid w:val="5EFA7CCD"/>
    <w:rsid w:val="5FB38A51"/>
    <w:rsid w:val="653F617E"/>
    <w:rsid w:val="65F7DFB9"/>
    <w:rsid w:val="66DBCB4C"/>
    <w:rsid w:val="6B774030"/>
    <w:rsid w:val="6BFF6483"/>
    <w:rsid w:val="6CDDF41F"/>
    <w:rsid w:val="6EDFE945"/>
    <w:rsid w:val="6F1EB156"/>
    <w:rsid w:val="6F47D021"/>
    <w:rsid w:val="6F5F5BF7"/>
    <w:rsid w:val="6F9765DC"/>
    <w:rsid w:val="6FD52B22"/>
    <w:rsid w:val="6FF6EF3A"/>
    <w:rsid w:val="72FF9414"/>
    <w:rsid w:val="75F619C0"/>
    <w:rsid w:val="765F5396"/>
    <w:rsid w:val="773BD74C"/>
    <w:rsid w:val="77D7DAD5"/>
    <w:rsid w:val="77F31216"/>
    <w:rsid w:val="77FD9AE0"/>
    <w:rsid w:val="79DF08B3"/>
    <w:rsid w:val="7B7F62CC"/>
    <w:rsid w:val="7B979DCE"/>
    <w:rsid w:val="7D53FBCE"/>
    <w:rsid w:val="7E9D472A"/>
    <w:rsid w:val="7EEFF36E"/>
    <w:rsid w:val="7F7D58EC"/>
    <w:rsid w:val="7FBF209A"/>
    <w:rsid w:val="7FDFC103"/>
    <w:rsid w:val="7FF3BB9C"/>
    <w:rsid w:val="7FFC6236"/>
    <w:rsid w:val="8BDD3E4A"/>
    <w:rsid w:val="9D4B5CFF"/>
    <w:rsid w:val="9F4F5F0A"/>
    <w:rsid w:val="9FF70D7F"/>
    <w:rsid w:val="AD673429"/>
    <w:rsid w:val="B17E676F"/>
    <w:rsid w:val="B1EFB46F"/>
    <w:rsid w:val="B5FF090C"/>
    <w:rsid w:val="B7BFD723"/>
    <w:rsid w:val="B7DDE708"/>
    <w:rsid w:val="BA7B23C6"/>
    <w:rsid w:val="BC2E6AE8"/>
    <w:rsid w:val="BCFF618F"/>
    <w:rsid w:val="BD530C7E"/>
    <w:rsid w:val="BF1B05AE"/>
    <w:rsid w:val="C12E323B"/>
    <w:rsid w:val="CC7F7576"/>
    <w:rsid w:val="CF3DD5A8"/>
    <w:rsid w:val="D5FE028A"/>
    <w:rsid w:val="DB9C614E"/>
    <w:rsid w:val="DED733A8"/>
    <w:rsid w:val="DF7F617C"/>
    <w:rsid w:val="DFF3296C"/>
    <w:rsid w:val="DFFF6406"/>
    <w:rsid w:val="E5FE12B7"/>
    <w:rsid w:val="E67F9489"/>
    <w:rsid w:val="E6EA22A0"/>
    <w:rsid w:val="EB8A5A79"/>
    <w:rsid w:val="ED699DDF"/>
    <w:rsid w:val="EDD6DDC3"/>
    <w:rsid w:val="EFADB65C"/>
    <w:rsid w:val="EFD55385"/>
    <w:rsid w:val="EFED6068"/>
    <w:rsid w:val="EFF7D004"/>
    <w:rsid w:val="EFFF1046"/>
    <w:rsid w:val="F0EFFADD"/>
    <w:rsid w:val="F11F9497"/>
    <w:rsid w:val="F1F484FC"/>
    <w:rsid w:val="F2B4B408"/>
    <w:rsid w:val="F5F9E1CB"/>
    <w:rsid w:val="F7A50BC3"/>
    <w:rsid w:val="F7F85630"/>
    <w:rsid w:val="F7FFD991"/>
    <w:rsid w:val="F9BFE34B"/>
    <w:rsid w:val="FAF1BA06"/>
    <w:rsid w:val="FAFE3255"/>
    <w:rsid w:val="FAFFB157"/>
    <w:rsid w:val="FB5CBB1A"/>
    <w:rsid w:val="FB7D2C8C"/>
    <w:rsid w:val="FBFF047C"/>
    <w:rsid w:val="FC6F4ED9"/>
    <w:rsid w:val="FD6528DB"/>
    <w:rsid w:val="FDFE983E"/>
    <w:rsid w:val="FDFFC9EC"/>
    <w:rsid w:val="FE65E0EC"/>
    <w:rsid w:val="FE734873"/>
    <w:rsid w:val="FEDFCD70"/>
    <w:rsid w:val="FEFF20B3"/>
    <w:rsid w:val="FF14FDB3"/>
    <w:rsid w:val="FF2FD49B"/>
    <w:rsid w:val="FF59DB64"/>
    <w:rsid w:val="FF75E55C"/>
    <w:rsid w:val="FFBA8C6A"/>
    <w:rsid w:val="FFBEE8A6"/>
    <w:rsid w:val="FFBFD577"/>
    <w:rsid w:val="FFC6036A"/>
    <w:rsid w:val="FFD5FCA6"/>
    <w:rsid w:val="FFDFB352"/>
    <w:rsid w:val="FFFA9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Indent"/>
    <w:basedOn w:val="1"/>
    <w:next w:val="1"/>
    <w:qFormat/>
    <w:uiPriority w:val="0"/>
    <w:pPr>
      <w:ind w:firstLine="420" w:firstLineChars="200"/>
    </w:pPr>
    <w:rPr>
      <w:rFonts w:ascii="Times New Roman" w:hAnsi="Times New Roman"/>
    </w:rPr>
  </w:style>
  <w:style w:type="paragraph" w:styleId="4">
    <w:name w:val="caption"/>
    <w:basedOn w:val="1"/>
    <w:next w:val="1"/>
    <w:qFormat/>
    <w:uiPriority w:val="0"/>
    <w:pPr>
      <w:suppressLineNumbers/>
      <w:spacing w:before="120" w:after="120"/>
    </w:pPr>
    <w:rPr>
      <w:i/>
      <w:iCs/>
      <w:sz w:val="24"/>
    </w:rPr>
  </w:style>
  <w:style w:type="paragraph" w:styleId="5">
    <w:name w:val="Body Text"/>
    <w:basedOn w:val="1"/>
    <w:qFormat/>
    <w:uiPriority w:val="0"/>
    <w:pPr>
      <w:spacing w:after="140" w:line="276" w:lineRule="auto"/>
    </w:pPr>
  </w:style>
  <w:style w:type="paragraph" w:styleId="6">
    <w:name w:val="List Bullet 5"/>
    <w:basedOn w:val="1"/>
    <w:qFormat/>
    <w:uiPriority w:val="0"/>
    <w:pPr>
      <w:numPr>
        <w:ilvl w:val="0"/>
        <w:numId w:val="1"/>
      </w:numPr>
    </w:pPr>
  </w:style>
  <w:style w:type="paragraph" w:styleId="7">
    <w:name w:val="Balloon Text"/>
    <w:basedOn w:val="1"/>
    <w:link w:val="1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5"/>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13"/>
    <w:link w:val="7"/>
    <w:qFormat/>
    <w:uiPriority w:val="0"/>
    <w:rPr>
      <w:rFonts w:ascii="Calibri" w:hAnsi="Calibri"/>
      <w:kern w:val="2"/>
      <w:sz w:val="18"/>
      <w:szCs w:val="18"/>
    </w:rPr>
  </w:style>
  <w:style w:type="character" w:customStyle="1" w:styleId="15">
    <w:name w:val="默认段落字体1"/>
    <w:qFormat/>
    <w:uiPriority w:val="0"/>
  </w:style>
  <w:style w:type="paragraph" w:customStyle="1" w:styleId="16">
    <w:name w:val="Heading"/>
    <w:basedOn w:val="1"/>
    <w:next w:val="5"/>
    <w:qFormat/>
    <w:uiPriority w:val="0"/>
    <w:pPr>
      <w:keepNext/>
      <w:spacing w:before="240" w:after="120"/>
    </w:pPr>
    <w:rPr>
      <w:rFonts w:ascii="Liberation Sans" w:hAnsi="Liberation Sans" w:eastAsia="Noto Sans CJK SC Regular" w:cs="Noto Sans CJK SC Regular"/>
      <w:sz w:val="28"/>
      <w:szCs w:val="28"/>
    </w:rPr>
  </w:style>
  <w:style w:type="paragraph" w:customStyle="1" w:styleId="17">
    <w:name w:val="Index"/>
    <w:basedOn w:val="1"/>
    <w:qFormat/>
    <w:uiPriority w:val="0"/>
    <w:pPr>
      <w:suppressLineNumbers/>
    </w:pPr>
  </w:style>
  <w:style w:type="character" w:customStyle="1" w:styleId="18">
    <w:name w:val="正文文本 (2) + 间距 1 pt"/>
    <w:autoRedefine/>
    <w:qFormat/>
    <w:uiPriority w:val="0"/>
    <w:rPr>
      <w:rFonts w:ascii="Times New Roman" w:hAnsi="Times New Roman" w:eastAsia="仿宋_GB2312"/>
      <w:color w:val="000000"/>
      <w:spacing w:val="30"/>
      <w:w w:val="100"/>
      <w:position w:val="0"/>
      <w:sz w:val="32"/>
      <w:lang w:val="zh-CN" w:eastAsia="zh-CN" w:bidi="zh-CN"/>
    </w:rPr>
  </w:style>
  <w:style w:type="paragraph" w:customStyle="1" w:styleId="19">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226</Words>
  <Characters>1290</Characters>
  <Lines>10</Lines>
  <Paragraphs>3</Paragraphs>
  <TotalTime>4</TotalTime>
  <ScaleCrop>false</ScaleCrop>
  <LinksUpToDate>false</LinksUpToDate>
  <CharactersWithSpaces>1513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2022-09-03T10:40:00Z</dcterms:created>
  <dc:creator>gxxc</dc:creator>
  <cp:lastModifiedBy>樱花林</cp:lastModifiedBy>
  <cp:lastPrinted>2024-03-30T09:43:00Z</cp:lastPrinted>
  <dcterms:modified xsi:type="dcterms:W3CDTF">2024-04-09T09:00:25Z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47392B75F1E34D799535B4DA368B42A6_13</vt:lpwstr>
  </property>
</Properties>
</file>