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33"/>
          <w:szCs w:val="33"/>
          <w:shd w:val="clear" w:fill="FFFFFF"/>
        </w:rPr>
        <w:t>2023年上半年旅游主要指标数据通报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6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  <w:t>据广西旅游抽样调查统计测算，2023年上半年全区累计接待国内游客4.23亿人次，实现国内旅游收入4218.57亿元。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AEB052E-7FAF-4621-A8C9-F335AD0C629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D1BEBF72-6412-41C9-8CAB-90E2527413F2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02BF354E-13E2-48FF-8E19-F6C455AA30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24153A6-57D7-4B7C-B08C-4A3F970B9C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GM4MDA3MGYyMmMyMGU3MjNmZmZmOWRlYTA2NDkifQ=="/>
  </w:docVars>
  <w:rsids>
    <w:rsidRoot w:val="7C5A6B72"/>
    <w:rsid w:val="07CC6936"/>
    <w:rsid w:val="2BB51472"/>
    <w:rsid w:val="7C5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2023-01-29T02:53:00Z</dcterms:created>
  <dc:creator>Administrator</dc:creator>
  <cp:lastModifiedBy>樱花林</cp:lastModifiedBy>
  <cp:lastPrinted>2023-01-29T07:45:00Z</cp:lastPrinted>
  <dcterms:modified xsi:type="dcterms:W3CDTF">2023-10-27T08:06:53Z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BF83A4FD82864FFD8795EFBE36DF85C5</vt:lpwstr>
  </property>
</Properties>
</file>