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6F" w:rsidRDefault="002D5E71">
      <w:pPr>
        <w:pStyle w:val="a4"/>
        <w:widowControl w:val="0"/>
        <w:spacing w:before="0" w:beforeAutospacing="0" w:after="0" w:afterAutospacing="0" w:line="360" w:lineRule="exact"/>
        <w:jc w:val="both"/>
        <w:rPr>
          <w:rFonts w:ascii="黑体" w:eastAsia="黑体" w:hAnsi="黑体"/>
          <w:sz w:val="30"/>
          <w:szCs w:val="30"/>
        </w:rPr>
      </w:pPr>
      <w:r>
        <w:rPr>
          <w:rFonts w:ascii="黑体" w:eastAsia="黑体" w:hAnsi="黑体" w:hint="eastAsia"/>
          <w:sz w:val="30"/>
          <w:szCs w:val="30"/>
        </w:rPr>
        <w:t>附件</w:t>
      </w:r>
    </w:p>
    <w:p w:rsidR="0083016F" w:rsidRDefault="002D5E71">
      <w:pPr>
        <w:pStyle w:val="a4"/>
        <w:widowControl w:val="0"/>
        <w:spacing w:beforeLines="50" w:before="156" w:beforeAutospacing="0" w:afterLines="50" w:after="156" w:afterAutospacing="0" w:line="520" w:lineRule="exact"/>
        <w:jc w:val="center"/>
        <w:rPr>
          <w:rFonts w:ascii="方正小标宋简体" w:eastAsia="方正小标宋简体" w:hAnsi="黑体"/>
          <w:sz w:val="40"/>
          <w:szCs w:val="32"/>
        </w:rPr>
      </w:pPr>
      <w:r>
        <w:rPr>
          <w:rFonts w:ascii="方正小标宋简体" w:eastAsia="方正小标宋简体" w:hAnsi="黑体" w:hint="eastAsia"/>
          <w:sz w:val="40"/>
          <w:szCs w:val="32"/>
        </w:rPr>
        <w:t>广西壮族自治区群众艺术馆</w:t>
      </w:r>
      <w:r>
        <w:rPr>
          <w:rFonts w:ascii="方正小标宋简体" w:eastAsia="方正小标宋简体" w:hAnsi="黑体" w:hint="eastAsia"/>
          <w:sz w:val="40"/>
          <w:szCs w:val="32"/>
        </w:rPr>
        <w:t>2023</w:t>
      </w:r>
      <w:r>
        <w:rPr>
          <w:rFonts w:ascii="方正小标宋简体" w:eastAsia="方正小标宋简体" w:hAnsi="黑体" w:hint="eastAsia"/>
          <w:sz w:val="40"/>
          <w:szCs w:val="32"/>
        </w:rPr>
        <w:t>年度公开招聘工作人员调整部分岗位招聘条件及延长报名时间岗位信息表</w:t>
      </w:r>
    </w:p>
    <w:tbl>
      <w:tblPr>
        <w:tblpPr w:leftFromText="180" w:rightFromText="180" w:vertAnchor="text" w:horzAnchor="page" w:tblpX="1590" w:tblpY="532"/>
        <w:tblOverlap w:val="never"/>
        <w:tblW w:w="13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2" w:type="dxa"/>
          <w:left w:w="57" w:type="dxa"/>
          <w:bottom w:w="132" w:type="dxa"/>
          <w:right w:w="57" w:type="dxa"/>
        </w:tblCellMar>
        <w:tblLook w:val="04A0" w:firstRow="1" w:lastRow="0" w:firstColumn="1" w:lastColumn="0" w:noHBand="0" w:noVBand="1"/>
      </w:tblPr>
      <w:tblGrid>
        <w:gridCol w:w="537"/>
        <w:gridCol w:w="631"/>
        <w:gridCol w:w="1111"/>
        <w:gridCol w:w="623"/>
        <w:gridCol w:w="561"/>
        <w:gridCol w:w="3554"/>
        <w:gridCol w:w="722"/>
        <w:gridCol w:w="865"/>
        <w:gridCol w:w="865"/>
        <w:gridCol w:w="837"/>
        <w:gridCol w:w="598"/>
        <w:gridCol w:w="918"/>
        <w:gridCol w:w="544"/>
        <w:gridCol w:w="554"/>
        <w:gridCol w:w="733"/>
      </w:tblGrid>
      <w:tr w:rsidR="0083016F" w:rsidTr="008B3891">
        <w:trPr>
          <w:trHeight w:val="567"/>
        </w:trPr>
        <w:tc>
          <w:tcPr>
            <w:tcW w:w="537"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岗位序号</w:t>
            </w:r>
          </w:p>
        </w:tc>
        <w:tc>
          <w:tcPr>
            <w:tcW w:w="631"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用人单位</w:t>
            </w:r>
          </w:p>
        </w:tc>
        <w:tc>
          <w:tcPr>
            <w:tcW w:w="1111"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名称</w:t>
            </w:r>
          </w:p>
        </w:tc>
        <w:tc>
          <w:tcPr>
            <w:tcW w:w="623"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招聘人数</w:t>
            </w:r>
          </w:p>
        </w:tc>
        <w:tc>
          <w:tcPr>
            <w:tcW w:w="561"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岗位类别等级</w:t>
            </w:r>
          </w:p>
        </w:tc>
        <w:tc>
          <w:tcPr>
            <w:tcW w:w="3554" w:type="dxa"/>
            <w:vAlign w:val="center"/>
          </w:tcPr>
          <w:p w:rsidR="0083016F" w:rsidRDefault="002D5E71">
            <w:pPr>
              <w:widowControl/>
              <w:snapToGrid w:val="0"/>
              <w:jc w:val="center"/>
              <w:rPr>
                <w:rFonts w:ascii="黑体" w:eastAsia="黑体" w:hAnsi="黑体" w:cs="宋体"/>
                <w:kern w:val="0"/>
                <w:sz w:val="18"/>
                <w:szCs w:val="18"/>
              </w:rPr>
            </w:pPr>
            <w:bookmarkStart w:id="0" w:name="_GoBack"/>
            <w:bookmarkEnd w:id="0"/>
            <w:r>
              <w:rPr>
                <w:rFonts w:ascii="黑体" w:eastAsia="黑体" w:hAnsi="黑体" w:cs="宋体" w:hint="eastAsia"/>
                <w:kern w:val="0"/>
                <w:sz w:val="18"/>
                <w:szCs w:val="18"/>
              </w:rPr>
              <w:t>专业</w:t>
            </w:r>
          </w:p>
        </w:tc>
        <w:tc>
          <w:tcPr>
            <w:tcW w:w="722"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是否</w:t>
            </w:r>
          </w:p>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全日制</w:t>
            </w:r>
          </w:p>
        </w:tc>
        <w:tc>
          <w:tcPr>
            <w:tcW w:w="865"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学历学位</w:t>
            </w:r>
          </w:p>
        </w:tc>
        <w:tc>
          <w:tcPr>
            <w:tcW w:w="865"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年龄</w:t>
            </w:r>
          </w:p>
        </w:tc>
        <w:tc>
          <w:tcPr>
            <w:tcW w:w="837"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职称或职（执）业资格</w:t>
            </w:r>
          </w:p>
        </w:tc>
        <w:tc>
          <w:tcPr>
            <w:tcW w:w="598"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政治面貌</w:t>
            </w:r>
          </w:p>
        </w:tc>
        <w:tc>
          <w:tcPr>
            <w:tcW w:w="918"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其他条件</w:t>
            </w:r>
          </w:p>
        </w:tc>
        <w:tc>
          <w:tcPr>
            <w:tcW w:w="544"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考试</w:t>
            </w:r>
          </w:p>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方式</w:t>
            </w:r>
          </w:p>
        </w:tc>
        <w:tc>
          <w:tcPr>
            <w:tcW w:w="554"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用人方式</w:t>
            </w:r>
          </w:p>
        </w:tc>
        <w:tc>
          <w:tcPr>
            <w:tcW w:w="733" w:type="dxa"/>
            <w:vAlign w:val="center"/>
          </w:tcPr>
          <w:p w:rsidR="0083016F" w:rsidRDefault="002D5E71">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83016F" w:rsidTr="008B3891">
        <w:trPr>
          <w:trHeight w:val="1948"/>
        </w:trPr>
        <w:tc>
          <w:tcPr>
            <w:tcW w:w="537"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w:t>
            </w:r>
          </w:p>
        </w:tc>
        <w:tc>
          <w:tcPr>
            <w:tcW w:w="63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广西壮族自治区群众艺术馆</w:t>
            </w:r>
          </w:p>
        </w:tc>
        <w:tc>
          <w:tcPr>
            <w:tcW w:w="111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灯光设计管理岗</w:t>
            </w:r>
          </w:p>
        </w:tc>
        <w:tc>
          <w:tcPr>
            <w:tcW w:w="623"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w:t>
            </w:r>
          </w:p>
        </w:tc>
        <w:tc>
          <w:tcPr>
            <w:tcW w:w="56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专技十二级　</w:t>
            </w:r>
          </w:p>
        </w:tc>
        <w:tc>
          <w:tcPr>
            <w:tcW w:w="3554"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艺术类专业</w:t>
            </w:r>
          </w:p>
        </w:tc>
        <w:tc>
          <w:tcPr>
            <w:tcW w:w="722"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否</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本科及以上学历，学士及以上学位；</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18</w:t>
            </w:r>
            <w:r>
              <w:rPr>
                <w:rFonts w:ascii="仿宋_GB2312" w:eastAsia="仿宋_GB2312" w:hAnsi="宋体" w:cs="仿宋_GB2312" w:hint="eastAsia"/>
                <w:kern w:val="0"/>
                <w:sz w:val="18"/>
                <w:szCs w:val="18"/>
                <w:lang w:bidi="ar"/>
              </w:rPr>
              <w:t>周岁以上、</w:t>
            </w:r>
            <w:r>
              <w:rPr>
                <w:rFonts w:ascii="仿宋_GB2312" w:eastAsia="仿宋_GB2312" w:hAnsi="宋体" w:cs="仿宋_GB2312" w:hint="eastAsia"/>
                <w:kern w:val="0"/>
                <w:sz w:val="18"/>
                <w:szCs w:val="18"/>
                <w:lang w:bidi="ar"/>
              </w:rPr>
              <w:t>35</w:t>
            </w:r>
            <w:r>
              <w:rPr>
                <w:rFonts w:ascii="仿宋_GB2312" w:eastAsia="仿宋_GB2312" w:hAnsi="宋体" w:cs="仿宋_GB2312" w:hint="eastAsia"/>
                <w:kern w:val="0"/>
                <w:sz w:val="18"/>
                <w:szCs w:val="18"/>
                <w:lang w:bidi="ar"/>
              </w:rPr>
              <w:t>周岁以下（年龄计算时间截至报名首日）</w:t>
            </w:r>
          </w:p>
        </w:tc>
        <w:tc>
          <w:tcPr>
            <w:tcW w:w="837"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具有艺术系列、群众文化行业中级及以上专业技术职称</w:t>
            </w:r>
          </w:p>
        </w:tc>
        <w:tc>
          <w:tcPr>
            <w:tcW w:w="598"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无要求</w:t>
            </w:r>
          </w:p>
        </w:tc>
        <w:tc>
          <w:tcPr>
            <w:tcW w:w="918"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执有电工特种作业操作证</w:t>
            </w:r>
          </w:p>
        </w:tc>
        <w:tc>
          <w:tcPr>
            <w:tcW w:w="54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面试</w:t>
            </w:r>
            <w:r>
              <w:rPr>
                <w:rFonts w:ascii="仿宋_GB2312" w:eastAsia="仿宋_GB2312" w:hAnsi="宋体" w:cs="仿宋_GB2312" w:hint="eastAsia"/>
                <w:kern w:val="0"/>
                <w:sz w:val="18"/>
                <w:szCs w:val="18"/>
                <w:lang w:bidi="ar"/>
              </w:rPr>
              <w:t xml:space="preserve">　</w:t>
            </w:r>
          </w:p>
        </w:tc>
        <w:tc>
          <w:tcPr>
            <w:tcW w:w="55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实名编制　</w:t>
            </w:r>
          </w:p>
        </w:tc>
        <w:tc>
          <w:tcPr>
            <w:tcW w:w="733" w:type="dxa"/>
            <w:vAlign w:val="center"/>
          </w:tcPr>
          <w:p w:rsidR="0083016F" w:rsidRDefault="002D5E71">
            <w:pPr>
              <w:widowControl/>
              <w:snapToGrid w:val="0"/>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3016F">
        <w:trPr>
          <w:trHeight w:val="2375"/>
        </w:trPr>
        <w:tc>
          <w:tcPr>
            <w:tcW w:w="537"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2</w:t>
            </w:r>
          </w:p>
        </w:tc>
        <w:tc>
          <w:tcPr>
            <w:tcW w:w="63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广西壮族自治区群众艺术馆</w:t>
            </w:r>
          </w:p>
        </w:tc>
        <w:tc>
          <w:tcPr>
            <w:tcW w:w="111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新媒体编辑岗</w:t>
            </w:r>
          </w:p>
        </w:tc>
        <w:tc>
          <w:tcPr>
            <w:tcW w:w="623"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w:t>
            </w:r>
          </w:p>
        </w:tc>
        <w:tc>
          <w:tcPr>
            <w:tcW w:w="56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专技十二级</w:t>
            </w:r>
          </w:p>
        </w:tc>
        <w:tc>
          <w:tcPr>
            <w:tcW w:w="3554"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传播学、网络与新媒体、广告学专业</w:t>
            </w:r>
          </w:p>
        </w:tc>
        <w:tc>
          <w:tcPr>
            <w:tcW w:w="722"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否</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本科及以上学历、学士及以上学位</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18</w:t>
            </w:r>
            <w:r>
              <w:rPr>
                <w:rFonts w:ascii="仿宋_GB2312" w:eastAsia="仿宋_GB2312" w:hAnsi="宋体" w:cs="宋体" w:hint="eastAsia"/>
                <w:kern w:val="0"/>
                <w:sz w:val="18"/>
                <w:szCs w:val="18"/>
              </w:rPr>
              <w:t>岁以上，</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周岁（含）以下（年龄计算时间截至报名首日）</w:t>
            </w:r>
          </w:p>
        </w:tc>
        <w:tc>
          <w:tcPr>
            <w:tcW w:w="837"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具有艺术系列、群众文化行业</w:t>
            </w:r>
            <w:r>
              <w:rPr>
                <w:rFonts w:ascii="仿宋_GB2312" w:eastAsia="仿宋_GB2312" w:hAnsi="宋体" w:cs="宋体" w:hint="eastAsia"/>
                <w:kern w:val="0"/>
                <w:sz w:val="18"/>
                <w:szCs w:val="18"/>
              </w:rPr>
              <w:t>、新闻系列</w:t>
            </w:r>
            <w:r>
              <w:rPr>
                <w:rFonts w:ascii="仿宋_GB2312" w:eastAsia="仿宋_GB2312" w:hAnsi="宋体" w:cs="宋体" w:hint="eastAsia"/>
                <w:kern w:val="0"/>
                <w:sz w:val="18"/>
                <w:szCs w:val="18"/>
              </w:rPr>
              <w:t>中级及以上专业技术职称</w:t>
            </w:r>
          </w:p>
        </w:tc>
        <w:tc>
          <w:tcPr>
            <w:tcW w:w="598"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中共党员（含预备党员）</w:t>
            </w:r>
          </w:p>
        </w:tc>
        <w:tc>
          <w:tcPr>
            <w:tcW w:w="918"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无要求</w:t>
            </w:r>
          </w:p>
        </w:tc>
        <w:tc>
          <w:tcPr>
            <w:tcW w:w="54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面试</w:t>
            </w:r>
            <w:r>
              <w:rPr>
                <w:rFonts w:ascii="仿宋_GB2312" w:eastAsia="仿宋_GB2312" w:hAnsi="宋体" w:cs="仿宋_GB2312" w:hint="eastAsia"/>
                <w:kern w:val="0"/>
                <w:sz w:val="18"/>
                <w:szCs w:val="18"/>
                <w:lang w:bidi="ar"/>
              </w:rPr>
              <w:t xml:space="preserve">　</w:t>
            </w:r>
          </w:p>
        </w:tc>
        <w:tc>
          <w:tcPr>
            <w:tcW w:w="55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实名编制　</w:t>
            </w:r>
          </w:p>
        </w:tc>
        <w:tc>
          <w:tcPr>
            <w:tcW w:w="733" w:type="dxa"/>
            <w:vAlign w:val="center"/>
          </w:tcPr>
          <w:p w:rsidR="0083016F" w:rsidRDefault="002D5E71">
            <w:pPr>
              <w:widowControl/>
              <w:snapToGrid w:val="0"/>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3016F">
        <w:trPr>
          <w:trHeight w:val="2375"/>
        </w:trPr>
        <w:tc>
          <w:tcPr>
            <w:tcW w:w="537"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lastRenderedPageBreak/>
              <w:t>3</w:t>
            </w:r>
          </w:p>
        </w:tc>
        <w:tc>
          <w:tcPr>
            <w:tcW w:w="63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广西壮族自治区群众艺术馆</w:t>
            </w:r>
          </w:p>
        </w:tc>
        <w:tc>
          <w:tcPr>
            <w:tcW w:w="111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播音主持岗</w:t>
            </w:r>
          </w:p>
        </w:tc>
        <w:tc>
          <w:tcPr>
            <w:tcW w:w="623"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w:t>
            </w:r>
          </w:p>
        </w:tc>
        <w:tc>
          <w:tcPr>
            <w:tcW w:w="561"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专技十二级　</w:t>
            </w:r>
          </w:p>
        </w:tc>
        <w:tc>
          <w:tcPr>
            <w:tcW w:w="3554"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播音、播音与主持艺术、新闻传播学</w:t>
            </w:r>
            <w:r>
              <w:rPr>
                <w:rFonts w:ascii="仿宋_GB2312" w:eastAsia="仿宋_GB2312" w:hAnsi="宋体" w:cs="宋体" w:hint="eastAsia"/>
                <w:kern w:val="0"/>
                <w:sz w:val="18"/>
                <w:szCs w:val="18"/>
              </w:rPr>
              <w:t>、表演</w:t>
            </w:r>
            <w:r>
              <w:rPr>
                <w:rFonts w:ascii="仿宋_GB2312" w:eastAsia="仿宋_GB2312" w:hAnsi="宋体" w:cs="宋体" w:hint="eastAsia"/>
                <w:kern w:val="0"/>
                <w:sz w:val="18"/>
                <w:szCs w:val="18"/>
              </w:rPr>
              <w:t>专业</w:t>
            </w:r>
          </w:p>
        </w:tc>
        <w:tc>
          <w:tcPr>
            <w:tcW w:w="722"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否</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本科及以上学历、学士及以上学位</w:t>
            </w:r>
          </w:p>
        </w:tc>
        <w:tc>
          <w:tcPr>
            <w:tcW w:w="865"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18</w:t>
            </w:r>
            <w:r>
              <w:rPr>
                <w:rFonts w:ascii="仿宋_GB2312" w:eastAsia="仿宋_GB2312" w:hAnsi="宋体" w:cs="仿宋_GB2312" w:hint="eastAsia"/>
                <w:kern w:val="0"/>
                <w:sz w:val="18"/>
                <w:szCs w:val="18"/>
                <w:lang w:bidi="ar"/>
              </w:rPr>
              <w:t>周岁以上、</w:t>
            </w:r>
            <w:r>
              <w:rPr>
                <w:rFonts w:ascii="仿宋_GB2312" w:eastAsia="仿宋_GB2312" w:hAnsi="宋体" w:cs="仿宋_GB2312" w:hint="eastAsia"/>
                <w:kern w:val="0"/>
                <w:sz w:val="18"/>
                <w:szCs w:val="18"/>
                <w:lang w:bidi="ar"/>
              </w:rPr>
              <w:t>35</w:t>
            </w:r>
            <w:r>
              <w:rPr>
                <w:rFonts w:ascii="仿宋_GB2312" w:eastAsia="仿宋_GB2312" w:hAnsi="宋体" w:cs="仿宋_GB2312" w:hint="eastAsia"/>
                <w:kern w:val="0"/>
                <w:sz w:val="18"/>
                <w:szCs w:val="18"/>
                <w:lang w:bidi="ar"/>
              </w:rPr>
              <w:t>周岁以下（年龄计算时间截至报名首日）</w:t>
            </w:r>
          </w:p>
        </w:tc>
        <w:tc>
          <w:tcPr>
            <w:tcW w:w="837" w:type="dxa"/>
            <w:vAlign w:val="center"/>
          </w:tcPr>
          <w:p w:rsidR="0083016F" w:rsidRDefault="002D5E71">
            <w:pPr>
              <w:widowControl/>
              <w:spacing w:line="30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具有艺术系列、群众文化行业</w:t>
            </w:r>
            <w:r>
              <w:rPr>
                <w:rFonts w:ascii="仿宋_GB2312" w:eastAsia="仿宋_GB2312" w:hAnsi="宋体" w:cs="宋体" w:hint="eastAsia"/>
                <w:kern w:val="0"/>
                <w:sz w:val="18"/>
                <w:szCs w:val="18"/>
              </w:rPr>
              <w:t>、播音主持系列</w:t>
            </w:r>
            <w:r>
              <w:rPr>
                <w:rFonts w:ascii="仿宋_GB2312" w:eastAsia="仿宋_GB2312" w:hAnsi="宋体" w:cs="宋体" w:hint="eastAsia"/>
                <w:kern w:val="0"/>
                <w:sz w:val="18"/>
                <w:szCs w:val="18"/>
              </w:rPr>
              <w:t>中级及以上专业技术职称</w:t>
            </w:r>
          </w:p>
        </w:tc>
        <w:tc>
          <w:tcPr>
            <w:tcW w:w="598" w:type="dxa"/>
            <w:vAlign w:val="center"/>
          </w:tcPr>
          <w:p w:rsidR="0083016F" w:rsidRDefault="002D5E71">
            <w:pPr>
              <w:spacing w:line="300" w:lineRule="exact"/>
              <w:jc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无要求</w:t>
            </w:r>
          </w:p>
        </w:tc>
        <w:tc>
          <w:tcPr>
            <w:tcW w:w="918"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无要求</w:t>
            </w:r>
          </w:p>
        </w:tc>
        <w:tc>
          <w:tcPr>
            <w:tcW w:w="54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面试</w:t>
            </w:r>
            <w:r>
              <w:rPr>
                <w:rFonts w:ascii="仿宋_GB2312" w:eastAsia="仿宋_GB2312" w:hAnsi="宋体" w:cs="仿宋_GB2312" w:hint="eastAsia"/>
                <w:kern w:val="0"/>
                <w:sz w:val="18"/>
                <w:szCs w:val="18"/>
                <w:lang w:bidi="ar"/>
              </w:rPr>
              <w:t xml:space="preserve">　</w:t>
            </w:r>
          </w:p>
        </w:tc>
        <w:tc>
          <w:tcPr>
            <w:tcW w:w="554" w:type="dxa"/>
            <w:vAlign w:val="center"/>
          </w:tcPr>
          <w:p w:rsidR="0083016F" w:rsidRDefault="002D5E71">
            <w:pPr>
              <w:widowControl/>
              <w:spacing w:line="300" w:lineRule="exact"/>
              <w:jc w:val="center"/>
              <w:textAlignment w:val="center"/>
              <w:rPr>
                <w:rFonts w:ascii="仿宋_GB2312" w:eastAsia="仿宋_GB2312" w:hAnsi="宋体" w:cs="宋体"/>
                <w:kern w:val="0"/>
                <w:sz w:val="18"/>
                <w:szCs w:val="18"/>
              </w:rPr>
            </w:pPr>
            <w:r>
              <w:rPr>
                <w:rFonts w:ascii="仿宋_GB2312" w:eastAsia="仿宋_GB2312" w:hAnsi="宋体" w:cs="仿宋_GB2312" w:hint="eastAsia"/>
                <w:kern w:val="0"/>
                <w:sz w:val="18"/>
                <w:szCs w:val="18"/>
                <w:lang w:bidi="ar"/>
              </w:rPr>
              <w:t xml:space="preserve">实名编制　</w:t>
            </w:r>
          </w:p>
        </w:tc>
        <w:tc>
          <w:tcPr>
            <w:tcW w:w="733" w:type="dxa"/>
            <w:vAlign w:val="center"/>
          </w:tcPr>
          <w:p w:rsidR="0083016F" w:rsidRDefault="0083016F">
            <w:pPr>
              <w:widowControl/>
              <w:snapToGrid w:val="0"/>
              <w:spacing w:line="300" w:lineRule="exact"/>
              <w:jc w:val="center"/>
              <w:rPr>
                <w:rFonts w:ascii="仿宋_GB2312" w:eastAsia="仿宋_GB2312" w:hAnsi="宋体" w:cs="宋体"/>
                <w:kern w:val="0"/>
                <w:sz w:val="18"/>
                <w:szCs w:val="18"/>
              </w:rPr>
            </w:pPr>
          </w:p>
        </w:tc>
      </w:tr>
      <w:tr w:rsidR="0083016F">
        <w:trPr>
          <w:trHeight w:val="560"/>
        </w:trPr>
        <w:tc>
          <w:tcPr>
            <w:tcW w:w="2902" w:type="dxa"/>
            <w:gridSpan w:val="4"/>
            <w:vAlign w:val="center"/>
          </w:tcPr>
          <w:p w:rsidR="0083016F" w:rsidRDefault="002D5E71">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备注</w:t>
            </w:r>
          </w:p>
        </w:tc>
        <w:tc>
          <w:tcPr>
            <w:tcW w:w="10751" w:type="dxa"/>
            <w:gridSpan w:val="11"/>
            <w:vAlign w:val="center"/>
          </w:tcPr>
          <w:p w:rsidR="0083016F" w:rsidRDefault="002D5E71">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学历不分全日制或非全日制，均可报名；</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学科类别、专业名称参照《广西壮族自治区公务员考试专业分类指导目录</w:t>
            </w:r>
            <w:r>
              <w:rPr>
                <w:rFonts w:ascii="仿宋_GB2312" w:eastAsia="仿宋_GB2312" w:hAnsi="宋体" w:cs="宋体" w:hint="eastAsia"/>
                <w:kern w:val="0"/>
                <w:sz w:val="18"/>
                <w:szCs w:val="18"/>
              </w:rPr>
              <w:t>(2023</w:t>
            </w:r>
            <w:r>
              <w:rPr>
                <w:rFonts w:ascii="仿宋_GB2312" w:eastAsia="仿宋_GB2312" w:hAnsi="宋体" w:cs="宋体" w:hint="eastAsia"/>
                <w:kern w:val="0"/>
                <w:sz w:val="18"/>
                <w:szCs w:val="18"/>
              </w:rPr>
              <w:t>年版</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》《教育部学位授予和人才培养学科目录（</w:t>
            </w:r>
            <w:r>
              <w:rPr>
                <w:rFonts w:ascii="仿宋_GB2312" w:eastAsia="仿宋_GB2312" w:hAnsi="宋体" w:cs="宋体" w:hint="eastAsia"/>
                <w:kern w:val="0"/>
                <w:sz w:val="18"/>
                <w:szCs w:val="18"/>
              </w:rPr>
              <w:t>2018</w:t>
            </w:r>
            <w:r>
              <w:rPr>
                <w:rFonts w:ascii="仿宋_GB2312" w:eastAsia="仿宋_GB2312" w:hAnsi="宋体" w:cs="宋体" w:hint="eastAsia"/>
                <w:kern w:val="0"/>
                <w:sz w:val="18"/>
                <w:szCs w:val="18"/>
              </w:rPr>
              <w:t>年</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月更新版）》。</w:t>
            </w:r>
          </w:p>
        </w:tc>
      </w:tr>
    </w:tbl>
    <w:p w:rsidR="0083016F" w:rsidRDefault="0083016F"/>
    <w:sectPr w:rsidR="0083016F">
      <w:headerReference w:type="default"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E71" w:rsidRDefault="002D5E71">
      <w:r>
        <w:separator/>
      </w:r>
    </w:p>
  </w:endnote>
  <w:endnote w:type="continuationSeparator" w:id="0">
    <w:p w:rsidR="002D5E71" w:rsidRDefault="002D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F" w:rsidRDefault="002D5E71">
    <w:pPr>
      <w:pStyle w:val="a3"/>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3016F" w:rsidRDefault="002D5E71">
                          <w:pPr>
                            <w:pStyle w:val="a3"/>
                            <w:jc w:val="right"/>
                          </w:pPr>
                          <w:r>
                            <w:fldChar w:fldCharType="begin"/>
                          </w:r>
                          <w:r>
                            <w:instrText xml:space="preserve"> PAGE   \* MERGEFORMAT </w:instrText>
                          </w:r>
                          <w:r>
                            <w:fldChar w:fldCharType="separate"/>
                          </w:r>
                          <w:r w:rsidR="008B3891" w:rsidRPr="008B3891">
                            <w:rPr>
                              <w:noProof/>
                              <w:lang w:val="zh-CN"/>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IheZgPMAQAAfAMAAA4AAAAAAAAAAAAA&#10;AAAALgIAAGRycy9lMm9Eb2MueG1sUEsBAi0AFAAGAAgAAAAhAAxK8O7WAAAABQEAAA8AAAAAAAAA&#10;AAAAAAAAJgQAAGRycy9kb3ducmV2LnhtbFBLBQYAAAAABAAEAPMAAAApBQAAAAA=&#10;" filled="f" stroked="f">
              <v:textbox style="mso-fit-shape-to-text:t" inset="0,0,0,0">
                <w:txbxContent>
                  <w:p w:rsidR="0083016F" w:rsidRDefault="002D5E71">
                    <w:pPr>
                      <w:pStyle w:val="a3"/>
                      <w:jc w:val="right"/>
                    </w:pPr>
                    <w:r>
                      <w:fldChar w:fldCharType="begin"/>
                    </w:r>
                    <w:r>
                      <w:instrText xml:space="preserve"> PAGE   \* MERGEFORMAT </w:instrText>
                    </w:r>
                    <w:r>
                      <w:fldChar w:fldCharType="separate"/>
                    </w:r>
                    <w:r w:rsidR="008B3891" w:rsidRPr="008B3891">
                      <w:rPr>
                        <w:noProof/>
                        <w:lang w:val="zh-CN"/>
                      </w:rPr>
                      <w:t>1</w:t>
                    </w:r>
                    <w:r>
                      <w:fldChar w:fldCharType="end"/>
                    </w:r>
                  </w:p>
                </w:txbxContent>
              </v:textbox>
              <w10:wrap anchorx="margin"/>
            </v:shape>
          </w:pict>
        </mc:Fallback>
      </mc:AlternateContent>
    </w:r>
  </w:p>
  <w:p w:rsidR="0083016F" w:rsidRDefault="0083016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E71" w:rsidRDefault="002D5E71">
      <w:r>
        <w:separator/>
      </w:r>
    </w:p>
  </w:footnote>
  <w:footnote w:type="continuationSeparator" w:id="0">
    <w:p w:rsidR="002D5E71" w:rsidRDefault="002D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6F" w:rsidRDefault="002D5E71">
    <w:r>
      <w:pict>
        <v:shapetype id="_x0000_t202" coordsize="21600,21600" o:spt="202" path="m,l,21600r21600,l21600,xe">
          <v:stroke joinstyle="miter"/>
          <v:path gradientshapeok="t" o:connecttype="rect"/>
        </v:shapetype>
        <v:shape id="ImpTraceLabel" o:spid="_x0000_s2049" type="#_x0000_t202" style="position:absolute;left:0;text-align:left;margin-left:0;margin-top:0;width:0;height:0;z-index:251659264;mso-position-horizontal-relative:page;mso-position-vertical-relative:page;mso-width-relative:page;mso-height-relative:page" filled="f" stroked="f">
          <v:textbox>
            <w:txbxContent>
              <w:p w:rsidR="0083016F" w:rsidRDefault="002D5E71">
                <w:r>
                  <w:t>&lt;</w:t>
                </w:r>
                <w:r>
                  <w:t>root&gt;&lt;sender&gt;gxtsg@wlt.gxzf.gov.cn&lt;/sender&gt;&lt;type&gt;2&lt;/type&gt;&lt;subject&gt;</w:t>
                </w:r>
                <w:r>
                  <w:rPr>
                    <w:rFonts w:hint="eastAsia"/>
                  </w:rPr>
                  <w:t>广西壮族自治区群众艺术馆</w:t>
                </w:r>
                <w:r>
                  <w:t>2023</w:t>
                </w:r>
                <w:r>
                  <w:t>年度公开招聘工作人员公告</w:t>
                </w:r>
                <w:r>
                  <w:t>&lt;/subject&gt;&lt;attachmentName&gt;</w:t>
                </w:r>
                <w:r>
                  <w:t>附件：</w:t>
                </w:r>
                <w:r>
                  <w:rPr>
                    <w:rFonts w:hint="eastAsia"/>
                  </w:rPr>
                  <w:t>广西壮族自治区群众艺术馆</w:t>
                </w:r>
                <w:r>
                  <w:t>2023</w:t>
                </w:r>
                <w:r>
                  <w:t>年度公开招聘工作人员岗位信息表</w:t>
                </w:r>
                <w:r>
                  <w:t>.docx&lt;/attachmentName&gt;&lt;addressee&gt;wltzwgk@wlt.gxzf.gov.cn&lt;/addressee&gt;&lt;mailSec&gt;</w:t>
                </w:r>
                <w:r>
                  <w:t>无密级</w:t>
                </w:r>
                <w:r>
                  <w:t>&lt;/mailSec&gt;&lt;sendTime&gt;</w:t>
                </w:r>
                <w:r>
                  <w:t>2023-07-27 16:36:48&lt;/sendTime&gt;&lt;loadTime&gt;2023-07-27 17:42:23&lt;/loadTime&gt;&lt;/root&gt;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OTcyZTE5YmI4MzJlMWQ4MzNjMmU4OWVjNjIwOWEifQ=="/>
    <w:docVar w:name="KGWebUrl" w:val="http://www.gxlib.org.cn:8999/seeyon/officeservlet"/>
  </w:docVars>
  <w:rsids>
    <w:rsidRoot w:val="0039601A"/>
    <w:rsid w:val="002D5E71"/>
    <w:rsid w:val="0039601A"/>
    <w:rsid w:val="0083016F"/>
    <w:rsid w:val="00842A56"/>
    <w:rsid w:val="008B3891"/>
    <w:rsid w:val="008B3E3E"/>
    <w:rsid w:val="037616BD"/>
    <w:rsid w:val="05A3399A"/>
    <w:rsid w:val="21C361E8"/>
    <w:rsid w:val="29D166B4"/>
    <w:rsid w:val="3C841A68"/>
    <w:rsid w:val="44B55BF3"/>
    <w:rsid w:val="4F5E0F15"/>
    <w:rsid w:val="53666D14"/>
    <w:rsid w:val="58B279E0"/>
    <w:rsid w:val="65EC78E0"/>
    <w:rsid w:val="6C96136B"/>
    <w:rsid w:val="777B025F"/>
    <w:rsid w:val="7994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BCE9148-075F-45D3-9432-FAB6F8DD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5">
    <w:name w:val="Strong"/>
    <w:qFormat/>
    <w:rPr>
      <w:b/>
      <w:bCs/>
    </w:rPr>
  </w:style>
  <w:style w:type="character" w:styleId="a6">
    <w:name w:val="page number"/>
    <w:basedOn w:val="a0"/>
    <w:qFormat/>
  </w:style>
  <w:style w:type="character" w:styleId="a7">
    <w:name w:val="Hyperlink"/>
    <w:qFormat/>
    <w:rPr>
      <w:color w:val="90057A"/>
      <w:sz w:val="18"/>
      <w:szCs w:val="18"/>
      <w:u w:val="single"/>
    </w:rPr>
  </w:style>
  <w:style w:type="paragraph" w:customStyle="1" w:styleId="9">
    <w:name w:val="9"/>
    <w:uiPriority w:val="99"/>
    <w:semiHidden/>
    <w:qFormat/>
    <w:rPr>
      <w:rFonts w:ascii="等线" w:eastAsia="等线" w:hAnsi="等线"/>
      <w:kern w:val="2"/>
      <w:sz w:val="21"/>
      <w:szCs w:val="22"/>
    </w:rPr>
  </w:style>
  <w:style w:type="character" w:customStyle="1" w:styleId="font21">
    <w:name w:val="font21"/>
    <w:basedOn w:val="a0"/>
    <w:qFormat/>
    <w:rPr>
      <w:rFonts w:ascii="仿宋_GB2312" w:eastAsia="仿宋_GB2312" w:cs="仿宋_GB2312" w:hint="eastAsia"/>
      <w:color w:val="000000"/>
      <w:sz w:val="18"/>
      <w:szCs w:val="18"/>
      <w:u w:val="none"/>
    </w:rPr>
  </w:style>
  <w:style w:type="paragraph" w:styleId="a8">
    <w:name w:val="Balloon Text"/>
    <w:basedOn w:val="a"/>
    <w:link w:val="Char"/>
    <w:uiPriority w:val="99"/>
    <w:semiHidden/>
    <w:unhideWhenUsed/>
    <w:rsid w:val="008B3891"/>
    <w:rPr>
      <w:sz w:val="18"/>
      <w:szCs w:val="18"/>
    </w:rPr>
  </w:style>
  <w:style w:type="character" w:customStyle="1" w:styleId="Char">
    <w:name w:val="批注框文本 Char"/>
    <w:basedOn w:val="a0"/>
    <w:link w:val="a8"/>
    <w:uiPriority w:val="99"/>
    <w:semiHidden/>
    <w:rsid w:val="008B3891"/>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Company>IT天空-www.itsk.com</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林俏宏</dc:creator>
  <cp:lastModifiedBy>Windows 用户</cp:lastModifiedBy>
  <cp:revision>5</cp:revision>
  <cp:lastPrinted>2023-11-22T03:55:00Z</cp:lastPrinted>
  <dcterms:created xsi:type="dcterms:W3CDTF">2023-05-09T06:14:00Z</dcterms:created>
  <dcterms:modified xsi:type="dcterms:W3CDTF">2023-11-22T03:55:00Z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7419E2CC1AF44EBEB94255ECBA06C1ED</vt:lpwstr>
  </property>
  <property fmtid="{D5CDD505-2E9C-101B-9397-08002B2CF9AE}" pid="3" name="KSOProductBuildVer">
    <vt:lpwstr>2052-11.8.6.8556</vt:lpwstr>
  </property>
</Properties>
</file>